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754779" w:rsidRPr="000D7184" w14:paraId="1E875207"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5B45C444" w14:textId="0646EDF9" w:rsidR="00754779" w:rsidRPr="00C77426" w:rsidRDefault="00754779" w:rsidP="00754779">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 xml:space="preserve">TITLE:        </w:t>
            </w:r>
            <w:r>
              <w:rPr>
                <w:rFonts w:ascii="Verdana" w:eastAsia="Times New Roman" w:hAnsi="Verdana" w:cs="Times New Roman"/>
                <w:b/>
                <w:sz w:val="20"/>
                <w:szCs w:val="20"/>
              </w:rPr>
              <w:t xml:space="preserve">Information Classification Policy </w:t>
            </w:r>
          </w:p>
        </w:tc>
      </w:tr>
      <w:tr w:rsidR="00754779" w:rsidRPr="000D7184" w14:paraId="0769D296"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48628A8B" w14:textId="473584F3" w:rsidR="00754779" w:rsidRPr="000D7184" w:rsidRDefault="00754779" w:rsidP="00BD0B66">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DEPARTMENT:</w:t>
            </w:r>
            <w:r w:rsidR="00D14FB5">
              <w:rPr>
                <w:rFonts w:ascii="Verdana" w:eastAsia="Times New Roman" w:hAnsi="Verdana" w:cs="Times New Roman"/>
                <w:b/>
                <w:sz w:val="20"/>
                <w:szCs w:val="20"/>
              </w:rPr>
              <w:t xml:space="preserve"> Information Technology</w:t>
            </w:r>
          </w:p>
        </w:tc>
      </w:tr>
      <w:tr w:rsidR="00754779" w:rsidRPr="000D7184" w14:paraId="4D2352FB"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1C0810A" w14:textId="77777777" w:rsidR="00754779" w:rsidRPr="000D7184" w:rsidRDefault="00754779" w:rsidP="00BD0B66">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123071E" w14:textId="77777777" w:rsidR="00754779" w:rsidRPr="000D7184" w:rsidRDefault="00754779" w:rsidP="00BD0B66">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Revised Date:</w:t>
            </w:r>
          </w:p>
        </w:tc>
        <w:tc>
          <w:tcPr>
            <w:tcW w:w="3748" w:type="dxa"/>
            <w:vAlign w:val="bottom"/>
          </w:tcPr>
          <w:p w14:paraId="47D4E35D" w14:textId="77777777" w:rsidR="00754779" w:rsidRPr="00C77426" w:rsidRDefault="00754779" w:rsidP="00BD0B66">
            <w:pPr>
              <w:rPr>
                <w:rFonts w:ascii="Verdana" w:eastAsia="Times New Roman" w:hAnsi="Verdana" w:cs="Times New Roman"/>
                <w:b/>
                <w:sz w:val="20"/>
                <w:szCs w:val="20"/>
              </w:rPr>
            </w:pPr>
            <w:r w:rsidRPr="00C77426">
              <w:rPr>
                <w:rFonts w:ascii="Verdana" w:eastAsia="Times New Roman" w:hAnsi="Verdana" w:cs="Times New Roman"/>
                <w:b/>
                <w:sz w:val="20"/>
                <w:szCs w:val="20"/>
              </w:rPr>
              <w:t>Next Review Date:</w:t>
            </w:r>
          </w:p>
        </w:tc>
      </w:tr>
      <w:tr w:rsidR="00754779" w:rsidRPr="000D7184" w14:paraId="050A8EBB"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5F334C1C" w14:textId="77777777" w:rsidR="00754779" w:rsidRPr="00C77426" w:rsidRDefault="00754779" w:rsidP="00BD0B66">
            <w:pPr>
              <w:tabs>
                <w:tab w:val="left" w:pos="1980"/>
              </w:tabs>
              <w:spacing w:before="120"/>
              <w:rPr>
                <w:rFonts w:ascii="Verdana" w:eastAsia="Times New Roman" w:hAnsi="Verdana"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4DFBC1B6" w14:textId="77777777" w:rsidR="00754779" w:rsidRPr="00C77426" w:rsidRDefault="00754779" w:rsidP="00BD0B66">
            <w:pPr>
              <w:tabs>
                <w:tab w:val="left" w:pos="1980"/>
              </w:tabs>
              <w:spacing w:before="120"/>
              <w:rPr>
                <w:rFonts w:ascii="Verdana" w:eastAsia="Times New Roman" w:hAnsi="Verdana" w:cs="Times New Roman"/>
                <w:b/>
                <w:sz w:val="20"/>
                <w:szCs w:val="20"/>
              </w:rPr>
            </w:pPr>
          </w:p>
        </w:tc>
        <w:tc>
          <w:tcPr>
            <w:tcW w:w="3748" w:type="dxa"/>
            <w:vAlign w:val="bottom"/>
          </w:tcPr>
          <w:p w14:paraId="4E434067" w14:textId="77777777" w:rsidR="00754779" w:rsidRPr="00C77426" w:rsidRDefault="00754779" w:rsidP="00BD0B66">
            <w:pPr>
              <w:rPr>
                <w:rFonts w:ascii="Verdana" w:eastAsia="Times New Roman" w:hAnsi="Verdana" w:cs="Times New Roman"/>
                <w:b/>
                <w:sz w:val="20"/>
                <w:szCs w:val="20"/>
              </w:rPr>
            </w:pPr>
          </w:p>
        </w:tc>
      </w:tr>
      <w:tr w:rsidR="00754779" w:rsidRPr="000D7184" w14:paraId="54C658B1"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01125136" w14:textId="34708B5F" w:rsidR="00754779" w:rsidRPr="00C77426" w:rsidRDefault="00754779" w:rsidP="00BD0B66">
            <w:pPr>
              <w:tabs>
                <w:tab w:val="left" w:pos="1980"/>
              </w:tabs>
              <w:spacing w:before="120"/>
              <w:rPr>
                <w:rFonts w:ascii="Verdana" w:eastAsia="Times New Roman" w:hAnsi="Verdana" w:cs="Times New Roman"/>
                <w:b/>
                <w:sz w:val="20"/>
                <w:szCs w:val="20"/>
              </w:rPr>
            </w:pPr>
            <w:r w:rsidRPr="00C77426">
              <w:rPr>
                <w:rFonts w:ascii="Verdana" w:eastAsia="Times New Roman" w:hAnsi="Verdana" w:cs="Times New Roman"/>
                <w:b/>
                <w:sz w:val="20"/>
                <w:szCs w:val="20"/>
              </w:rPr>
              <w:t xml:space="preserve">Prepared by: </w:t>
            </w:r>
            <w:r w:rsidR="00480EB8">
              <w:rPr>
                <w:rFonts w:ascii="Verdana" w:eastAsia="Times New Roman" w:hAnsi="Verdana"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6C23DB7" w14:textId="7BE900F9" w:rsidR="00754779" w:rsidRPr="00C77426" w:rsidRDefault="00754779" w:rsidP="00BD0B66">
            <w:pPr>
              <w:rPr>
                <w:rFonts w:ascii="Verdana" w:eastAsia="Times New Roman" w:hAnsi="Verdana" w:cs="Times New Roman"/>
                <w:b/>
                <w:sz w:val="20"/>
                <w:szCs w:val="20"/>
              </w:rPr>
            </w:pPr>
            <w:r w:rsidRPr="00C77426">
              <w:rPr>
                <w:rFonts w:ascii="Verdana" w:eastAsia="Times New Roman" w:hAnsi="Verdana" w:cs="Times New Roman"/>
                <w:b/>
                <w:sz w:val="20"/>
                <w:szCs w:val="20"/>
              </w:rPr>
              <w:t xml:space="preserve">Date: </w:t>
            </w:r>
            <w:r w:rsidR="00480EB8">
              <w:rPr>
                <w:rFonts w:ascii="Verdana" w:eastAsia="Times New Roman" w:hAnsi="Verdana" w:cs="Times New Roman"/>
                <w:b/>
                <w:sz w:val="20"/>
                <w:szCs w:val="20"/>
              </w:rPr>
              <w:t>05/31/21</w:t>
            </w:r>
          </w:p>
        </w:tc>
      </w:tr>
      <w:tr w:rsidR="00754779" w:rsidRPr="000D7184" w14:paraId="78A65F7D"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584560FB" w14:textId="77777777" w:rsidR="00754779" w:rsidRPr="00C77426" w:rsidRDefault="00754779" w:rsidP="00BD0B66">
            <w:pPr>
              <w:rPr>
                <w:rFonts w:ascii="Verdana" w:eastAsia="Times New Roman" w:hAnsi="Verdana" w:cs="Times New Roman"/>
                <w:sz w:val="20"/>
                <w:szCs w:val="20"/>
              </w:rPr>
            </w:pPr>
            <w:r w:rsidRPr="00C77426">
              <w:rPr>
                <w:rFonts w:ascii="Verdana" w:eastAsia="Times New Roman" w:hAnsi="Verdana" w:cs="Times New Roman"/>
                <w:b/>
                <w:sz w:val="20"/>
                <w:szCs w:val="20"/>
              </w:rPr>
              <w:t>Administrative Approval:</w:t>
            </w:r>
            <w:r w:rsidRPr="00C77426">
              <w:rPr>
                <w:rFonts w:ascii="Verdana" w:eastAsia="Times New Roman" w:hAnsi="Verdana" w:cs="Times New Roman"/>
                <w:sz w:val="20"/>
                <w:szCs w:val="20"/>
              </w:rPr>
              <w:t xml:space="preserve"> Chief Executive Officer, Chief Information Officer, and Compliance Officer</w:t>
            </w:r>
          </w:p>
        </w:tc>
      </w:tr>
      <w:tr w:rsidR="00754779" w:rsidRPr="0091763A" w14:paraId="1C0DE581"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21AA243D" w14:textId="429312B0" w:rsidR="00754779" w:rsidRPr="00C77426" w:rsidRDefault="00754779" w:rsidP="00BD0B66">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CEO:</w:t>
            </w:r>
            <w:r w:rsidR="00D14FB5">
              <w:rPr>
                <w:rFonts w:ascii="Verdana" w:eastAsia="Times New Roman" w:hAnsi="Verdana"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173D0C4F" w14:textId="77777777" w:rsidR="00754779" w:rsidRPr="00C77426" w:rsidRDefault="00754779" w:rsidP="00BD0B66">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754779" w:rsidRPr="000D7184" w14:paraId="73AE10A7"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C2A3F2F" w14:textId="084DECEC" w:rsidR="00754779" w:rsidRPr="00C77426" w:rsidRDefault="00754779" w:rsidP="00BD0B66">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CIO:</w:t>
            </w:r>
            <w:r w:rsidR="00D14FB5">
              <w:rPr>
                <w:rFonts w:ascii="Verdana" w:eastAsia="Times New Roman" w:hAnsi="Verdana"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BC6C630" w14:textId="77777777" w:rsidR="00754779" w:rsidRPr="00C77426" w:rsidRDefault="00754779" w:rsidP="00BD0B66">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754779" w:rsidRPr="0091763A" w14:paraId="51DF1111"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77C1C21D" w14:textId="53099A55" w:rsidR="00754779" w:rsidRPr="00C77426" w:rsidRDefault="00754779" w:rsidP="00BD0B66">
            <w:pPr>
              <w:spacing w:before="120"/>
              <w:ind w:right="-855"/>
              <w:rPr>
                <w:rFonts w:ascii="Verdana" w:eastAsia="Times New Roman" w:hAnsi="Verdana" w:cs="Times New Roman"/>
                <w:sz w:val="20"/>
                <w:szCs w:val="20"/>
              </w:rPr>
            </w:pPr>
            <w:r w:rsidRPr="00C77426">
              <w:rPr>
                <w:rFonts w:ascii="Verdana" w:eastAsia="Times New Roman" w:hAnsi="Verdana" w:cs="Times New Roman"/>
                <w:sz w:val="20"/>
                <w:szCs w:val="20"/>
              </w:rPr>
              <w:t>CO:</w:t>
            </w:r>
            <w:r w:rsidR="00D14FB5">
              <w:rPr>
                <w:rFonts w:ascii="Verdana" w:eastAsia="Times New Roman" w:hAnsi="Verdana"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5F40BEA8" w14:textId="77777777" w:rsidR="00754779" w:rsidRPr="00C77426" w:rsidRDefault="00754779" w:rsidP="00BD0B66">
            <w:pPr>
              <w:ind w:right="-855"/>
              <w:rPr>
                <w:rFonts w:ascii="Verdana" w:eastAsia="Times New Roman" w:hAnsi="Verdana" w:cs="Times New Roman"/>
                <w:sz w:val="20"/>
                <w:szCs w:val="20"/>
              </w:rPr>
            </w:pPr>
            <w:r w:rsidRPr="00C77426">
              <w:rPr>
                <w:rFonts w:ascii="Verdana" w:eastAsia="Times New Roman" w:hAnsi="Verdana" w:cs="Times New Roman"/>
                <w:sz w:val="20"/>
                <w:szCs w:val="20"/>
              </w:rPr>
              <w:t xml:space="preserve">Date: </w:t>
            </w:r>
          </w:p>
        </w:tc>
      </w:tr>
      <w:tr w:rsidR="00754779" w:rsidRPr="000D7184" w14:paraId="5F3E74D7" w14:textId="77777777" w:rsidTr="00BD0B66">
        <w:trPr>
          <w:trHeight w:val="1024"/>
          <w:jc w:val="center"/>
        </w:trPr>
        <w:tc>
          <w:tcPr>
            <w:tcW w:w="10853" w:type="dxa"/>
            <w:gridSpan w:val="3"/>
            <w:tcBorders>
              <w:top w:val="single" w:sz="4" w:space="0" w:color="auto"/>
              <w:left w:val="single" w:sz="4" w:space="0" w:color="auto"/>
            </w:tcBorders>
          </w:tcPr>
          <w:p w14:paraId="759E9170" w14:textId="77777777" w:rsidR="00754779" w:rsidRPr="00C77426" w:rsidRDefault="00754779" w:rsidP="00BD0B66">
            <w:pPr>
              <w:rPr>
                <w:rFonts w:ascii="Verdana" w:eastAsia="Times New Roman" w:hAnsi="Verdana" w:cs="Times New Roman"/>
                <w:b/>
                <w:sz w:val="20"/>
                <w:szCs w:val="20"/>
              </w:rPr>
            </w:pPr>
            <w:r w:rsidRPr="00C77426">
              <w:rPr>
                <w:rFonts w:ascii="Verdana" w:eastAsia="Times New Roman" w:hAnsi="Verdana" w:cs="Times New Roman"/>
                <w:b/>
                <w:sz w:val="20"/>
                <w:szCs w:val="20"/>
              </w:rPr>
              <w:t xml:space="preserve">All other related polices/procedures/protocols: </w:t>
            </w:r>
          </w:p>
        </w:tc>
      </w:tr>
    </w:tbl>
    <w:p w14:paraId="741BAD82" w14:textId="35309280" w:rsidR="00B62624" w:rsidRPr="005F7A60" w:rsidRDefault="00754779" w:rsidP="005F7A60">
      <w:pPr>
        <w:tabs>
          <w:tab w:val="left" w:pos="1980"/>
        </w:tabs>
        <w:spacing w:before="120"/>
        <w:rPr>
          <w:rFonts w:ascii="Arial" w:eastAsia="Times New Roman" w:hAnsi="Arial" w:cs="Arial"/>
          <w:sz w:val="22"/>
          <w:szCs w:val="22"/>
        </w:rPr>
      </w:pPr>
      <w:r w:rsidRPr="005F7A60">
        <w:rPr>
          <w:rFonts w:ascii="Verdana" w:hAnsi="Verdana"/>
          <w:sz w:val="16"/>
          <w:szCs w:val="16"/>
        </w:rPr>
        <w:t>SEE LAST PAGE FOR REVIEW HISTORY</w:t>
      </w:r>
      <w:r w:rsidR="006978B0">
        <w:rPr>
          <w:noProof/>
          <w:szCs w:val="20"/>
        </w:rPr>
        <w:pict w14:anchorId="571D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0824372C" w14:textId="77777777" w:rsidR="00B62624" w:rsidRDefault="00B62624" w:rsidP="00754779">
      <w:pPr>
        <w:pStyle w:val="NoSpacing"/>
        <w:rPr>
          <w:szCs w:val="20"/>
        </w:rPr>
      </w:pPr>
    </w:p>
    <w:p w14:paraId="683BAAC9" w14:textId="78D46B45" w:rsidR="00C27679" w:rsidRPr="00C27679" w:rsidRDefault="00C545E2" w:rsidP="00754779">
      <w:pPr>
        <w:pStyle w:val="NoSpacing"/>
      </w:pPr>
      <w:r w:rsidRPr="00754779">
        <w:rPr>
          <w:b/>
          <w:sz w:val="26"/>
          <w:szCs w:val="26"/>
        </w:rPr>
        <w:t>Purpose:</w:t>
      </w:r>
      <w:r w:rsidRPr="00C27679">
        <w:t xml:space="preserve">  </w:t>
      </w:r>
      <w:bookmarkStart w:id="0" w:name="_Toc433636164"/>
    </w:p>
    <w:p w14:paraId="00AA9D1A" w14:textId="77777777" w:rsidR="00336849" w:rsidRDefault="00033FC1" w:rsidP="00754779">
      <w:pPr>
        <w:pStyle w:val="NoSpacing"/>
        <w:rPr>
          <w:rFonts w:eastAsia="Times New Roman" w:cs="Times New Roman"/>
          <w:szCs w:val="22"/>
        </w:rPr>
      </w:pPr>
      <w:r w:rsidRPr="00C27679">
        <w:rPr>
          <w:rFonts w:eastAsia="Times New Roman" w:cs="Times New Roman"/>
          <w:szCs w:val="22"/>
        </w:rPr>
        <w:t>To define and implement a methodology for identifying the Confidentiality</w:t>
      </w:r>
      <w:r w:rsidR="00336849">
        <w:rPr>
          <w:rFonts w:eastAsia="Times New Roman" w:cs="Times New Roman"/>
          <w:szCs w:val="22"/>
        </w:rPr>
        <w:t xml:space="preserve">, Availability, and Integrity </w:t>
      </w:r>
      <w:r w:rsidRPr="00C27679">
        <w:rPr>
          <w:rFonts w:eastAsia="Times New Roman" w:cs="Times New Roman"/>
          <w:szCs w:val="22"/>
        </w:rPr>
        <w:t>requirements for Information Systems</w:t>
      </w:r>
      <w:r w:rsidR="00336849">
        <w:rPr>
          <w:rFonts w:eastAsia="Times New Roman" w:cs="Times New Roman"/>
          <w:szCs w:val="22"/>
        </w:rPr>
        <w:t>.</w:t>
      </w:r>
    </w:p>
    <w:p w14:paraId="62B4A713" w14:textId="77777777" w:rsidR="00754779" w:rsidRDefault="00754779" w:rsidP="00754779">
      <w:pPr>
        <w:pStyle w:val="NoSpacing"/>
      </w:pPr>
    </w:p>
    <w:p w14:paraId="74B31B14" w14:textId="6F888073" w:rsidR="00A97E28" w:rsidRPr="00754779" w:rsidRDefault="00A97E28" w:rsidP="00754779">
      <w:pPr>
        <w:pStyle w:val="NoSpacing"/>
        <w:rPr>
          <w:b/>
          <w:sz w:val="26"/>
          <w:szCs w:val="26"/>
        </w:rPr>
      </w:pPr>
      <w:r w:rsidRPr="00754779">
        <w:rPr>
          <w:b/>
          <w:sz w:val="26"/>
          <w:szCs w:val="26"/>
        </w:rPr>
        <w:t>Scope and Applicability</w:t>
      </w:r>
      <w:bookmarkEnd w:id="0"/>
    </w:p>
    <w:p w14:paraId="1622B286" w14:textId="2D229BD5" w:rsidR="00A97E28" w:rsidRDefault="00A97E28" w:rsidP="00764C11">
      <w:pPr>
        <w:pStyle w:val="NoSpacing"/>
      </w:pPr>
      <w:r w:rsidRPr="000937EC">
        <w:t>This policy</w:t>
      </w:r>
      <w:r w:rsidR="0047789B">
        <w:t xml:space="preserve"> applies to </w:t>
      </w:r>
      <w:r w:rsidRPr="000937EC">
        <w:t xml:space="preserve">Information Systems.  </w:t>
      </w:r>
    </w:p>
    <w:p w14:paraId="76B62E14" w14:textId="77777777" w:rsidR="00764C11" w:rsidRPr="000937EC" w:rsidRDefault="00764C11" w:rsidP="00764C11">
      <w:pPr>
        <w:pStyle w:val="NoSpacing"/>
      </w:pPr>
    </w:p>
    <w:p w14:paraId="1EA71A5E" w14:textId="1AEE6BFE" w:rsidR="0018167F" w:rsidRPr="00754779" w:rsidRDefault="00B15772" w:rsidP="00754779">
      <w:pPr>
        <w:pStyle w:val="NoSpacing"/>
        <w:rPr>
          <w:b/>
          <w:sz w:val="26"/>
          <w:szCs w:val="26"/>
        </w:rPr>
      </w:pPr>
      <w:r w:rsidRPr="00754779">
        <w:rPr>
          <w:b/>
          <w:sz w:val="26"/>
          <w:szCs w:val="26"/>
        </w:rPr>
        <w:t>Policy Statement</w:t>
      </w:r>
    </w:p>
    <w:p w14:paraId="3C85DEFC" w14:textId="0F7A2195" w:rsidR="00F25287" w:rsidRDefault="00F25287" w:rsidP="00F25287">
      <w:pPr>
        <w:pStyle w:val="NoSpacing"/>
      </w:pPr>
      <w:r w:rsidRPr="00336849">
        <w:t>Information Systems shall be assigned classifications for Confidentiality</w:t>
      </w:r>
      <w:r w:rsidR="00336849" w:rsidRPr="00336849">
        <w:t>, A</w:t>
      </w:r>
      <w:r w:rsidRPr="00336849">
        <w:t>vailability</w:t>
      </w:r>
      <w:r w:rsidR="00336849" w:rsidRPr="00336849">
        <w:t>, and Integrity</w:t>
      </w:r>
      <w:r w:rsidRPr="00336849">
        <w:t xml:space="preserve"> based on business needs and legal requirements for sharing or res</w:t>
      </w:r>
      <w:r w:rsidR="00336849" w:rsidRPr="00336849">
        <w:t xml:space="preserve">tricting access to information, </w:t>
      </w:r>
      <w:r w:rsidRPr="00336849">
        <w:t>con</w:t>
      </w:r>
      <w:r w:rsidR="00336849" w:rsidRPr="00336849">
        <w:t>tingency and recovery operations, and protecting the accuracy of information.</w:t>
      </w:r>
    </w:p>
    <w:p w14:paraId="749BD45D" w14:textId="77777777" w:rsidR="00F25287" w:rsidRPr="000937EC" w:rsidRDefault="00F25287" w:rsidP="00F25287">
      <w:pPr>
        <w:pStyle w:val="NoSpacing"/>
      </w:pPr>
    </w:p>
    <w:p w14:paraId="32A4E096" w14:textId="25584883" w:rsidR="0018167F" w:rsidRPr="00FB4D9D" w:rsidRDefault="0018167F" w:rsidP="00FB4D9D">
      <w:pPr>
        <w:pStyle w:val="NoSpacing"/>
        <w:rPr>
          <w:b/>
          <w:sz w:val="26"/>
          <w:szCs w:val="26"/>
        </w:rPr>
      </w:pPr>
      <w:bookmarkStart w:id="1" w:name="_Toc413159692"/>
      <w:r w:rsidRPr="00FB4D9D">
        <w:rPr>
          <w:b/>
          <w:sz w:val="26"/>
          <w:szCs w:val="26"/>
        </w:rPr>
        <w:t>Procedures</w:t>
      </w:r>
      <w:bookmarkEnd w:id="1"/>
    </w:p>
    <w:p w14:paraId="013F252D" w14:textId="4D0A62D5" w:rsidR="00A97E28" w:rsidRPr="00FB4D9D" w:rsidRDefault="00A97E28" w:rsidP="00FB4D9D">
      <w:pPr>
        <w:pStyle w:val="NoSpacing"/>
        <w:rPr>
          <w:b/>
          <w:sz w:val="24"/>
          <w:szCs w:val="26"/>
        </w:rPr>
      </w:pPr>
      <w:r w:rsidRPr="00FB4D9D">
        <w:rPr>
          <w:b/>
          <w:sz w:val="24"/>
          <w:szCs w:val="26"/>
        </w:rPr>
        <w:t>Responsibilities</w:t>
      </w:r>
    </w:p>
    <w:p w14:paraId="6E81F301" w14:textId="692584FE" w:rsidR="00A97E28" w:rsidRPr="00A97E28" w:rsidRDefault="00A97E28" w:rsidP="00764C11">
      <w:pPr>
        <w:pStyle w:val="NoSpacing"/>
        <w:numPr>
          <w:ilvl w:val="0"/>
          <w:numId w:val="12"/>
        </w:numPr>
      </w:pPr>
      <w:r w:rsidRPr="00A97E28">
        <w:t xml:space="preserve">The </w:t>
      </w:r>
      <w:r w:rsidR="009330D0">
        <w:t xml:space="preserve">Sun Health </w:t>
      </w:r>
      <w:r w:rsidR="008E7035">
        <w:t>HIPAA Security Officer</w:t>
      </w:r>
      <w:r w:rsidRPr="00A97E28">
        <w:t xml:space="preserve"> is responsible for the development, implementation, maintenance, and compliance monitoring of information classifications.</w:t>
      </w:r>
    </w:p>
    <w:p w14:paraId="0A546E65" w14:textId="77777777" w:rsidR="00A97E28" w:rsidRPr="00A97E28" w:rsidRDefault="00A97E28" w:rsidP="00764C11">
      <w:pPr>
        <w:pStyle w:val="NoSpacing"/>
        <w:numPr>
          <w:ilvl w:val="0"/>
          <w:numId w:val="12"/>
        </w:numPr>
      </w:pPr>
      <w:r w:rsidRPr="00A97E28">
        <w:t>Workforce Members are responsible for understanding, observing, and maintaining the Confidentiality of Information Systems based on its classification.</w:t>
      </w:r>
    </w:p>
    <w:p w14:paraId="641BCF76" w14:textId="77777777" w:rsidR="00A97E28" w:rsidRPr="00A97E28" w:rsidRDefault="00A97E28" w:rsidP="00764C11">
      <w:pPr>
        <w:pStyle w:val="NoSpacing"/>
        <w:numPr>
          <w:ilvl w:val="0"/>
          <w:numId w:val="12"/>
        </w:numPr>
      </w:pPr>
      <w:r w:rsidRPr="00A97E28">
        <w:t>Appropriate controls shall be defined and implemented to conserve Confidentiality classifications of Information Systems</w:t>
      </w:r>
    </w:p>
    <w:p w14:paraId="1492CCD4" w14:textId="4C34544F" w:rsidR="00A97E28" w:rsidRDefault="00A97E28" w:rsidP="00764C11">
      <w:pPr>
        <w:pStyle w:val="NoSpacing"/>
        <w:numPr>
          <w:ilvl w:val="0"/>
          <w:numId w:val="12"/>
        </w:numPr>
      </w:pPr>
      <w:r w:rsidRPr="00A97E28">
        <w:t xml:space="preserve">Appropriate controls shall be defined and implemented to recover and reconstitute Information Systems based on Availability classifications. </w:t>
      </w:r>
    </w:p>
    <w:p w14:paraId="0E932EEC" w14:textId="77777777" w:rsidR="00764C11" w:rsidRPr="00FB4D9D" w:rsidRDefault="00764C11" w:rsidP="00764C11">
      <w:pPr>
        <w:pStyle w:val="NoSpacing"/>
      </w:pPr>
    </w:p>
    <w:p w14:paraId="09B7DFF3" w14:textId="77777777" w:rsidR="005D3840" w:rsidRDefault="005D3840">
      <w:pPr>
        <w:rPr>
          <w:rFonts w:ascii="Verdana" w:hAnsi="Verdana"/>
          <w:b/>
          <w:szCs w:val="26"/>
        </w:rPr>
      </w:pPr>
      <w:bookmarkStart w:id="2" w:name="_Toc433636169"/>
      <w:r>
        <w:rPr>
          <w:b/>
          <w:szCs w:val="26"/>
        </w:rPr>
        <w:br w:type="page"/>
      </w:r>
    </w:p>
    <w:p w14:paraId="5EC8995C" w14:textId="0218BA83" w:rsidR="00A97E28" w:rsidRPr="00FB4D9D" w:rsidRDefault="00A97E28" w:rsidP="00FB4D9D">
      <w:pPr>
        <w:pStyle w:val="NoSpacing"/>
        <w:rPr>
          <w:b/>
          <w:sz w:val="24"/>
          <w:szCs w:val="26"/>
        </w:rPr>
      </w:pPr>
      <w:r w:rsidRPr="00FB4D9D">
        <w:rPr>
          <w:b/>
          <w:sz w:val="24"/>
          <w:szCs w:val="26"/>
        </w:rPr>
        <w:lastRenderedPageBreak/>
        <w:t>Confidentiality Classifications</w:t>
      </w:r>
      <w:bookmarkEnd w:id="2"/>
    </w:p>
    <w:p w14:paraId="50B04F0A" w14:textId="77777777" w:rsidR="00A97E28" w:rsidRPr="000937EC" w:rsidRDefault="00A97E28" w:rsidP="00764C11">
      <w:pPr>
        <w:pStyle w:val="NoSpacing"/>
        <w:numPr>
          <w:ilvl w:val="0"/>
          <w:numId w:val="13"/>
        </w:numPr>
      </w:pPr>
      <w:r w:rsidRPr="000937EC">
        <w:t>All Information Systems must carry a Confidentiality classification as defined by one of the following categories:</w:t>
      </w:r>
    </w:p>
    <w:p w14:paraId="16D50CB3" w14:textId="77777777" w:rsidR="00A97E28" w:rsidRPr="001A79B4" w:rsidRDefault="00A97E28" w:rsidP="00764C11">
      <w:pPr>
        <w:pStyle w:val="NoSpacing"/>
        <w:numPr>
          <w:ilvl w:val="1"/>
          <w:numId w:val="13"/>
        </w:numPr>
      </w:pPr>
      <w:r w:rsidRPr="001A79B4">
        <w:t>NON-SENSITIVE INFORMATION</w:t>
      </w:r>
    </w:p>
    <w:p w14:paraId="0654EF3F" w14:textId="544976D0" w:rsidR="00A97E28" w:rsidRPr="001A79B4" w:rsidRDefault="00A97E28" w:rsidP="00764C11">
      <w:pPr>
        <w:pStyle w:val="NoSpacing"/>
        <w:numPr>
          <w:ilvl w:val="2"/>
          <w:numId w:val="13"/>
        </w:numPr>
      </w:pPr>
      <w:r w:rsidRPr="001A79B4">
        <w:t xml:space="preserve">PUBLIC - Information that is available to the general public and intended for distribution outside </w:t>
      </w:r>
      <w:r w:rsidR="009330D0">
        <w:t>Sun Health</w:t>
      </w:r>
      <w:r w:rsidRPr="001A79B4">
        <w:t>. This information may be freely disseminated without potential harm. Examples include product and service brochures, advertisements, job opening announcements, public web sites, and press releases.</w:t>
      </w:r>
    </w:p>
    <w:p w14:paraId="036AEA8E" w14:textId="197DB89A" w:rsidR="00A97E28" w:rsidRPr="001A79B4" w:rsidRDefault="00A97E28" w:rsidP="00764C11">
      <w:pPr>
        <w:pStyle w:val="NoSpacing"/>
        <w:numPr>
          <w:ilvl w:val="2"/>
          <w:numId w:val="13"/>
        </w:numPr>
      </w:pPr>
      <w:r w:rsidRPr="001A79B4">
        <w:t xml:space="preserve">INTERNAL - Information that does not clearly fit into the other categorizations.  The unauthorized disclosure, modification or destruction of this information is not expected to seriously or adversely impact </w:t>
      </w:r>
      <w:r w:rsidR="009330D0">
        <w:t>Sun Health</w:t>
      </w:r>
      <w:r w:rsidRPr="001A79B4">
        <w:t xml:space="preserve">, its </w:t>
      </w:r>
      <w:r w:rsidR="009330D0">
        <w:t xml:space="preserve">residents, </w:t>
      </w:r>
      <w:r w:rsidRPr="001A79B4">
        <w:t xml:space="preserve">patients, employees, or its business associates. Examples include the company telephone directory, new employee training materials, and internal policy manuals.  </w:t>
      </w:r>
    </w:p>
    <w:p w14:paraId="37B4F293" w14:textId="77777777" w:rsidR="00A97E28" w:rsidRPr="001A79B4" w:rsidRDefault="00A97E28" w:rsidP="00EE1B05">
      <w:pPr>
        <w:pStyle w:val="NoSpacing"/>
        <w:numPr>
          <w:ilvl w:val="1"/>
          <w:numId w:val="13"/>
        </w:numPr>
      </w:pPr>
      <w:r w:rsidRPr="001A79B4">
        <w:t>SENSITIVE INFORMATION</w:t>
      </w:r>
    </w:p>
    <w:p w14:paraId="33CAB297" w14:textId="169F0566" w:rsidR="00A97E28" w:rsidRPr="001A79B4" w:rsidRDefault="00A97E28" w:rsidP="00EE1B05">
      <w:pPr>
        <w:pStyle w:val="NoSpacing"/>
        <w:numPr>
          <w:ilvl w:val="2"/>
          <w:numId w:val="13"/>
        </w:numPr>
      </w:pPr>
      <w:r w:rsidRPr="001A79B4">
        <w:t xml:space="preserve">CONFIDENTIAL - Information that is intended for use within </w:t>
      </w:r>
      <w:r w:rsidR="009330D0">
        <w:t>Sun Health</w:t>
      </w:r>
      <w:r w:rsidRPr="001A79B4">
        <w:t xml:space="preserve">. Its unauthorized disclosure could adversely impact </w:t>
      </w:r>
      <w:r w:rsidR="009330D0">
        <w:t>Sun Health, its residents</w:t>
      </w:r>
      <w:r w:rsidRPr="001A79B4">
        <w:t>, its patients, its employees, and its business associates.  Information that some people would consider private may be included in this classification. Examples include financial information, purchasing information, vendor and other business contracts.</w:t>
      </w:r>
    </w:p>
    <w:p w14:paraId="023225BF" w14:textId="07D126FF" w:rsidR="00A97E28" w:rsidRPr="000937EC" w:rsidRDefault="00A97E28" w:rsidP="00EE1B05">
      <w:pPr>
        <w:pStyle w:val="NoSpacing"/>
        <w:numPr>
          <w:ilvl w:val="2"/>
          <w:numId w:val="13"/>
        </w:numPr>
      </w:pPr>
      <w:r w:rsidRPr="001A79B4">
        <w:t xml:space="preserve">RESTRICTED </w:t>
      </w:r>
      <w:r w:rsidRPr="000937EC">
        <w:t xml:space="preserve">- The most sensitive medical and business information that is intended strictly for use within </w:t>
      </w:r>
      <w:r w:rsidR="009330D0">
        <w:t>Sun Health</w:t>
      </w:r>
      <w:r w:rsidRPr="000937EC">
        <w:t xml:space="preserve">. Its unauthorized disclosure could seriously and adversely impact </w:t>
      </w:r>
      <w:r w:rsidR="009330D0">
        <w:t>Sun Health, its residents</w:t>
      </w:r>
      <w:r w:rsidRPr="000937EC">
        <w:t>, its patients, its employees, and its business associates. Examples include personally identifiable information (PII), protected health information (PHI), appointment schedules, and patient account records.  Other examples include merger and acquisition documents, corporate level strategic plans, and attorney client privileged information.</w:t>
      </w:r>
    </w:p>
    <w:p w14:paraId="58DED086" w14:textId="77777777" w:rsidR="00A97E28" w:rsidRPr="000937EC" w:rsidRDefault="00A97E28" w:rsidP="00EE1B05">
      <w:pPr>
        <w:pStyle w:val="NoSpacing"/>
        <w:numPr>
          <w:ilvl w:val="0"/>
          <w:numId w:val="13"/>
        </w:numPr>
      </w:pPr>
      <w:r w:rsidRPr="000937EC">
        <w:t>When information has not been explicitly classified for Confidentiality, the information by default shall be considered as Internal.</w:t>
      </w:r>
    </w:p>
    <w:p w14:paraId="76F2911A" w14:textId="77777777" w:rsidR="00A97E28" w:rsidRDefault="00A97E28" w:rsidP="00EE1B05">
      <w:pPr>
        <w:pStyle w:val="NoSpacing"/>
        <w:numPr>
          <w:ilvl w:val="0"/>
          <w:numId w:val="13"/>
        </w:numPr>
      </w:pPr>
      <w:r w:rsidRPr="000937EC">
        <w:t>When information of different Confidentiality classifications is combined, the resulting collection of information must be classified at the higher level.</w:t>
      </w:r>
    </w:p>
    <w:p w14:paraId="52B57CEB" w14:textId="77777777" w:rsidR="00A97E28" w:rsidRPr="000937EC" w:rsidRDefault="00A97E28" w:rsidP="00A97E28">
      <w:pPr>
        <w:spacing w:after="200" w:line="276" w:lineRule="auto"/>
        <w:ind w:left="1440"/>
        <w:contextualSpacing/>
        <w:rPr>
          <w:rFonts w:ascii="Verdana" w:eastAsia="Times New Roman" w:hAnsi="Verdana" w:cs="Times New Roman"/>
          <w:sz w:val="20"/>
          <w:szCs w:val="22"/>
        </w:rPr>
      </w:pPr>
    </w:p>
    <w:p w14:paraId="1786218F" w14:textId="2AACE058" w:rsidR="00A97E28" w:rsidRPr="00FB4D9D" w:rsidRDefault="00A97E28" w:rsidP="00FB4D9D">
      <w:pPr>
        <w:pStyle w:val="NoSpacing"/>
        <w:rPr>
          <w:b/>
          <w:sz w:val="24"/>
          <w:szCs w:val="26"/>
        </w:rPr>
      </w:pPr>
      <w:bookmarkStart w:id="3" w:name="_Toc433636170"/>
      <w:r w:rsidRPr="00FB4D9D">
        <w:rPr>
          <w:b/>
          <w:sz w:val="24"/>
          <w:szCs w:val="26"/>
        </w:rPr>
        <w:t>Availability Classifications</w:t>
      </w:r>
      <w:bookmarkEnd w:id="3"/>
    </w:p>
    <w:p w14:paraId="0FC22ACB" w14:textId="77777777" w:rsidR="00A97E28" w:rsidRPr="000937EC" w:rsidRDefault="00A97E28" w:rsidP="00EE1B05">
      <w:pPr>
        <w:pStyle w:val="NoSpacing"/>
        <w:numPr>
          <w:ilvl w:val="0"/>
          <w:numId w:val="14"/>
        </w:numPr>
      </w:pPr>
      <w:r w:rsidRPr="000937EC">
        <w:t>All Information Systems must carry an Availability classification as defined by one of the following categories:</w:t>
      </w:r>
    </w:p>
    <w:p w14:paraId="26F057EF" w14:textId="39C7DF68" w:rsidR="00A97E28" w:rsidRPr="001A79B4" w:rsidRDefault="00A97E28" w:rsidP="00EE1B05">
      <w:pPr>
        <w:pStyle w:val="NoSpacing"/>
        <w:numPr>
          <w:ilvl w:val="1"/>
          <w:numId w:val="14"/>
        </w:numPr>
      </w:pPr>
      <w:r w:rsidRPr="001A79B4">
        <w:t xml:space="preserve">CRITICAL - Applications and systems designated “Critical” are mission-critical, impact </w:t>
      </w:r>
      <w:r w:rsidR="009330D0">
        <w:t>resident or patient</w:t>
      </w:r>
      <w:r w:rsidRPr="001A79B4">
        <w:t xml:space="preserve"> care</w:t>
      </w:r>
      <w:r w:rsidR="009330D0">
        <w:t>,</w:t>
      </w:r>
      <w:r w:rsidRPr="001A79B4">
        <w:t xml:space="preserve"> or other key operations, and require immediate data recovery resources to ensure prompt restoration, recovery, and operability. Failure of these applications and systems to function for even a short period of time could have a severe impact on </w:t>
      </w:r>
      <w:r w:rsidR="009330D0">
        <w:t>Sun Health’s</w:t>
      </w:r>
      <w:r w:rsidRPr="001A79B4">
        <w:t xml:space="preserve"> ability to carry out its mission and operations.</w:t>
      </w:r>
    </w:p>
    <w:p w14:paraId="6D6A296A" w14:textId="488F0737" w:rsidR="00A97E28" w:rsidRPr="001A79B4" w:rsidRDefault="00A97E28" w:rsidP="00EE1B05">
      <w:pPr>
        <w:pStyle w:val="NoSpacing"/>
        <w:numPr>
          <w:ilvl w:val="1"/>
          <w:numId w:val="14"/>
        </w:numPr>
      </w:pPr>
      <w:r w:rsidRPr="001A79B4">
        <w:t xml:space="preserve">HIGH - Applications and systems designated as “High” and may impact </w:t>
      </w:r>
      <w:r w:rsidR="009330D0">
        <w:t xml:space="preserve">resident or </w:t>
      </w:r>
      <w:r w:rsidRPr="001A79B4">
        <w:t>patient care, information services, finance, labor and attendance, and physical security. Failure of these applications and systems is allowable for a short period of time.</w:t>
      </w:r>
    </w:p>
    <w:p w14:paraId="1CC3AD30" w14:textId="77777777" w:rsidR="00A97E28" w:rsidRPr="001A79B4" w:rsidRDefault="00A97E28" w:rsidP="00EE1B05">
      <w:pPr>
        <w:pStyle w:val="NoSpacing"/>
        <w:numPr>
          <w:ilvl w:val="1"/>
          <w:numId w:val="14"/>
        </w:numPr>
      </w:pPr>
      <w:r w:rsidRPr="001A79B4">
        <w:lastRenderedPageBreak/>
        <w:t xml:space="preserve">MEDIUM - Applications and systems designated “Medium” and may tolerate a short period of loss of Availability. </w:t>
      </w:r>
    </w:p>
    <w:p w14:paraId="19D7D0A6" w14:textId="77777777" w:rsidR="00A97E28" w:rsidRDefault="00A97E28" w:rsidP="00EE1B05">
      <w:pPr>
        <w:pStyle w:val="NoSpacing"/>
        <w:numPr>
          <w:ilvl w:val="1"/>
          <w:numId w:val="14"/>
        </w:numPr>
      </w:pPr>
      <w:r w:rsidRPr="001A79B4">
        <w:t xml:space="preserve">LOW - </w:t>
      </w:r>
      <w:r w:rsidRPr="000937EC">
        <w:t xml:space="preserve">Applications and systems designated “Low” are lower priority and may </w:t>
      </w:r>
      <w:r>
        <w:t>tolerate a significant loss of A</w:t>
      </w:r>
      <w:r w:rsidRPr="000937EC">
        <w:t xml:space="preserve">vailability. Recovery will be initiated when normal </w:t>
      </w:r>
      <w:r>
        <w:t>Information Systems</w:t>
      </w:r>
      <w:r w:rsidRPr="000937EC">
        <w:t xml:space="preserve"> operations are reestablished.</w:t>
      </w:r>
    </w:p>
    <w:p w14:paraId="55F1C660" w14:textId="422D06DA" w:rsidR="002C3110" w:rsidRDefault="002C3110" w:rsidP="002C3110">
      <w:pPr>
        <w:spacing w:after="200" w:line="276" w:lineRule="auto"/>
        <w:contextualSpacing/>
        <w:rPr>
          <w:rFonts w:ascii="Verdana" w:eastAsia="Times New Roman" w:hAnsi="Verdana" w:cs="Times New Roman"/>
          <w:sz w:val="20"/>
          <w:szCs w:val="22"/>
        </w:rPr>
      </w:pPr>
    </w:p>
    <w:p w14:paraId="2F76EAB2" w14:textId="4A43C66C" w:rsidR="00071506" w:rsidRDefault="002C3110" w:rsidP="00071506">
      <w:pPr>
        <w:pStyle w:val="NoSpacing"/>
        <w:rPr>
          <w:b/>
          <w:sz w:val="24"/>
          <w:szCs w:val="26"/>
        </w:rPr>
      </w:pPr>
      <w:r w:rsidRPr="005F7A60">
        <w:rPr>
          <w:b/>
          <w:sz w:val="24"/>
          <w:szCs w:val="26"/>
        </w:rPr>
        <w:t>Integrity Classifications</w:t>
      </w:r>
    </w:p>
    <w:p w14:paraId="0B6992D3" w14:textId="365408AF" w:rsidR="002C3110" w:rsidRPr="005F7A60" w:rsidRDefault="002C3110" w:rsidP="00071506">
      <w:pPr>
        <w:pStyle w:val="NoSpacing"/>
      </w:pPr>
      <w:r w:rsidRPr="005F7A60">
        <w:t xml:space="preserve">All Information Systems must carry an </w:t>
      </w:r>
      <w:r w:rsidR="00404C70">
        <w:t>Integrity</w:t>
      </w:r>
      <w:r w:rsidRPr="005F7A60">
        <w:t xml:space="preserve"> classification as defined by one of the following categories:</w:t>
      </w:r>
    </w:p>
    <w:p w14:paraId="54955041" w14:textId="7EA20BF6" w:rsidR="002C3110" w:rsidRPr="00BC1A51" w:rsidRDefault="002C3110" w:rsidP="00DF28D0">
      <w:pPr>
        <w:pStyle w:val="NoSpacing"/>
        <w:numPr>
          <w:ilvl w:val="1"/>
          <w:numId w:val="17"/>
        </w:numPr>
        <w:ind w:left="720"/>
      </w:pPr>
      <w:r w:rsidRPr="005F7A60">
        <w:t xml:space="preserve">HIGH - </w:t>
      </w:r>
      <w:r w:rsidR="00071506">
        <w:t>U</w:t>
      </w:r>
      <w:r w:rsidR="00071506" w:rsidRPr="00071506">
        <w:t xml:space="preserve">nauthorized modification or destruction of information could have a severe or </w:t>
      </w:r>
      <w:r w:rsidR="00071506">
        <w:t xml:space="preserve">catastrophic adverse effect on </w:t>
      </w:r>
      <w:r w:rsidR="009330D0">
        <w:t xml:space="preserve">Sun Health </w:t>
      </w:r>
      <w:r w:rsidR="00071506" w:rsidRPr="00071506">
        <w:t>operations, assets, or individuals</w:t>
      </w:r>
      <w:r w:rsidR="00BC1A51">
        <w:t>.</w:t>
      </w:r>
    </w:p>
    <w:p w14:paraId="11D17BEA" w14:textId="4048A10D" w:rsidR="00071506" w:rsidRDefault="002C3110" w:rsidP="00DF28D0">
      <w:pPr>
        <w:pStyle w:val="NoSpacing"/>
        <w:numPr>
          <w:ilvl w:val="1"/>
          <w:numId w:val="17"/>
        </w:numPr>
        <w:ind w:left="720"/>
      </w:pPr>
      <w:r w:rsidRPr="005F7A60">
        <w:t xml:space="preserve">MEDIUM - </w:t>
      </w:r>
      <w:r w:rsidR="00071506">
        <w:t>U</w:t>
      </w:r>
      <w:r w:rsidR="00071506" w:rsidRPr="00071506">
        <w:t xml:space="preserve">nauthorized modification or destruction of information could have a serious adverse effect on </w:t>
      </w:r>
      <w:r w:rsidR="009330D0">
        <w:t xml:space="preserve">Sun Health </w:t>
      </w:r>
      <w:r w:rsidR="00071506" w:rsidRPr="00071506">
        <w:t xml:space="preserve">operations, assets, or individuals. </w:t>
      </w:r>
    </w:p>
    <w:p w14:paraId="6A18A9B2" w14:textId="3CD26BDE" w:rsidR="002C3110" w:rsidRPr="00BC1A51" w:rsidRDefault="002C3110" w:rsidP="00DF28D0">
      <w:pPr>
        <w:pStyle w:val="NoSpacing"/>
        <w:numPr>
          <w:ilvl w:val="1"/>
          <w:numId w:val="17"/>
        </w:numPr>
        <w:ind w:left="720"/>
      </w:pPr>
      <w:r w:rsidRPr="005F7A60">
        <w:t xml:space="preserve">LOW - </w:t>
      </w:r>
      <w:bookmarkStart w:id="4" w:name="_Toc433636171"/>
      <w:r w:rsidR="00BC1A51">
        <w:t>U</w:t>
      </w:r>
      <w:r w:rsidR="00071506" w:rsidRPr="00071506">
        <w:t xml:space="preserve">nauthorized modification or destruction of information </w:t>
      </w:r>
      <w:r w:rsidR="00BC1A51">
        <w:t>would</w:t>
      </w:r>
      <w:r w:rsidR="00071506" w:rsidRPr="00071506">
        <w:t xml:space="preserve"> have a limited adverse </w:t>
      </w:r>
      <w:r w:rsidR="00BC1A51">
        <w:t xml:space="preserve">effect on </w:t>
      </w:r>
      <w:r w:rsidR="009330D0">
        <w:t xml:space="preserve">Sun Health </w:t>
      </w:r>
      <w:r w:rsidR="00BC1A51">
        <w:t xml:space="preserve">operations, </w:t>
      </w:r>
      <w:r w:rsidR="00071506" w:rsidRPr="00071506">
        <w:t>assets, or individuals.</w:t>
      </w:r>
    </w:p>
    <w:p w14:paraId="72AD809B" w14:textId="77777777" w:rsidR="00071506" w:rsidRPr="00071506" w:rsidRDefault="00071506" w:rsidP="00071506">
      <w:pPr>
        <w:pStyle w:val="NoSpacing"/>
        <w:rPr>
          <w:b/>
          <w:sz w:val="24"/>
          <w:szCs w:val="26"/>
        </w:rPr>
      </w:pPr>
    </w:p>
    <w:p w14:paraId="5BC7D444" w14:textId="51CE156C" w:rsidR="00A97E28" w:rsidRPr="00FB4D9D" w:rsidRDefault="00A97E28" w:rsidP="00FB4D9D">
      <w:pPr>
        <w:pStyle w:val="NoSpacing"/>
        <w:rPr>
          <w:b/>
          <w:sz w:val="24"/>
          <w:szCs w:val="26"/>
        </w:rPr>
      </w:pPr>
      <w:r w:rsidRPr="00FB4D9D">
        <w:rPr>
          <w:b/>
          <w:sz w:val="24"/>
          <w:szCs w:val="26"/>
        </w:rPr>
        <w:t>Review and Revision</w:t>
      </w:r>
      <w:bookmarkEnd w:id="4"/>
    </w:p>
    <w:p w14:paraId="647FD17C" w14:textId="79F29679" w:rsidR="00EE1B05" w:rsidRDefault="0047789B" w:rsidP="00C3505B">
      <w:pPr>
        <w:pStyle w:val="NoSpacing"/>
        <w:numPr>
          <w:ilvl w:val="0"/>
          <w:numId w:val="15"/>
        </w:numPr>
      </w:pPr>
      <w:r>
        <w:t xml:space="preserve">Information Systems should </w:t>
      </w:r>
      <w:r w:rsidRPr="00E30054">
        <w:t>be reviewe</w:t>
      </w:r>
      <w:r>
        <w:t xml:space="preserve">d for possible reclassification </w:t>
      </w:r>
      <w:r w:rsidR="00A97E28" w:rsidRPr="00E30054">
        <w:t>at least an</w:t>
      </w:r>
      <w:r>
        <w:t>nually, or sooner if warranted.</w:t>
      </w:r>
    </w:p>
    <w:p w14:paraId="1003996E" w14:textId="77777777" w:rsidR="0047789B" w:rsidRPr="00E30054" w:rsidRDefault="0047789B" w:rsidP="0047789B">
      <w:pPr>
        <w:pStyle w:val="NoSpacing"/>
      </w:pPr>
    </w:p>
    <w:p w14:paraId="205F4881" w14:textId="0283DD74" w:rsidR="00E30054" w:rsidRPr="00FB4D9D" w:rsidRDefault="0018167F" w:rsidP="00FB4D9D">
      <w:pPr>
        <w:pStyle w:val="NoSpacing"/>
        <w:rPr>
          <w:b/>
          <w:sz w:val="28"/>
          <w:szCs w:val="26"/>
        </w:rPr>
      </w:pPr>
      <w:r w:rsidRPr="00FB4D9D">
        <w:rPr>
          <w:b/>
          <w:sz w:val="28"/>
          <w:szCs w:val="26"/>
        </w:rPr>
        <w:t>Enforcement &amp; Exception Handling</w:t>
      </w:r>
    </w:p>
    <w:p w14:paraId="6D93A8D6" w14:textId="77777777" w:rsidR="0047789B" w:rsidRPr="0047789B" w:rsidRDefault="0047789B" w:rsidP="0047789B">
      <w:pPr>
        <w:pStyle w:val="NoSpacing"/>
      </w:pPr>
      <w:r w:rsidRPr="0047789B">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54C1100E" w14:textId="77777777" w:rsidR="0047789B" w:rsidRPr="0047789B" w:rsidRDefault="0047789B" w:rsidP="0047789B">
      <w:pPr>
        <w:pStyle w:val="NoSpacing"/>
        <w:ind w:left="360"/>
      </w:pPr>
    </w:p>
    <w:p w14:paraId="0D91BBBC" w14:textId="77777777" w:rsidR="0047789B" w:rsidRPr="0047789B" w:rsidRDefault="0047789B" w:rsidP="0047789B">
      <w:pPr>
        <w:pStyle w:val="NoSpacing"/>
      </w:pPr>
      <w:r w:rsidRPr="0047789B">
        <w:t>Request for exceptions to this policy must be submitted in writing.  Prior to official approval of any exception, this policy must continue to be observed.</w:t>
      </w:r>
    </w:p>
    <w:p w14:paraId="367E8038" w14:textId="77777777" w:rsidR="00EE1B05" w:rsidRPr="00924F9B" w:rsidRDefault="00EE1B05" w:rsidP="0047789B">
      <w:pPr>
        <w:pStyle w:val="NoSpacing"/>
        <w:ind w:left="360"/>
      </w:pPr>
    </w:p>
    <w:p w14:paraId="42890265" w14:textId="24739D65" w:rsidR="0018167F" w:rsidRPr="00FB4D9D" w:rsidRDefault="00B15772" w:rsidP="00FB4D9D">
      <w:pPr>
        <w:pStyle w:val="NoSpacing"/>
        <w:rPr>
          <w:b/>
          <w:sz w:val="28"/>
          <w:szCs w:val="26"/>
        </w:rPr>
      </w:pPr>
      <w:r w:rsidRPr="00FB4D9D">
        <w:rPr>
          <w:b/>
          <w:sz w:val="28"/>
          <w:szCs w:val="26"/>
        </w:rPr>
        <w:t>Definitions</w:t>
      </w:r>
      <w:r w:rsidR="0018167F" w:rsidRPr="00FB4D9D">
        <w:rPr>
          <w:b/>
          <w:sz w:val="28"/>
          <w:szCs w:val="26"/>
        </w:rPr>
        <w:t xml:space="preserve"> </w:t>
      </w:r>
    </w:p>
    <w:p w14:paraId="04E45255" w14:textId="29CE95C2" w:rsidR="00A97E28" w:rsidRDefault="00A97E28" w:rsidP="00FB4D9D">
      <w:pPr>
        <w:pStyle w:val="NoSpacing"/>
      </w:pPr>
      <w:r w:rsidRPr="000937EC">
        <w:rPr>
          <w:b/>
          <w:u w:val="single"/>
        </w:rPr>
        <w:t>Availability</w:t>
      </w:r>
      <w:r w:rsidRPr="000937EC">
        <w:rPr>
          <w:b/>
        </w:rPr>
        <w:t xml:space="preserve"> </w:t>
      </w:r>
      <w:r w:rsidRPr="000937EC">
        <w:t>-</w:t>
      </w:r>
      <w:r w:rsidRPr="000937EC">
        <w:rPr>
          <w:b/>
        </w:rPr>
        <w:t xml:space="preserve"> </w:t>
      </w:r>
      <w:r w:rsidRPr="000937EC">
        <w:t>Means that information is accessible and useable upon demand by an authorized person.</w:t>
      </w:r>
    </w:p>
    <w:p w14:paraId="75540C30" w14:textId="77777777" w:rsidR="00FB4D9D" w:rsidRPr="000937EC" w:rsidRDefault="00FB4D9D" w:rsidP="00FB4D9D">
      <w:pPr>
        <w:pStyle w:val="NoSpacing"/>
      </w:pPr>
    </w:p>
    <w:p w14:paraId="46373B1B" w14:textId="1BE0FB6F" w:rsidR="00A97E28" w:rsidRDefault="00A97E28" w:rsidP="00FB4D9D">
      <w:pPr>
        <w:pStyle w:val="NoSpacing"/>
      </w:pPr>
      <w:r w:rsidRPr="000937EC">
        <w:rPr>
          <w:b/>
          <w:u w:val="single"/>
        </w:rPr>
        <w:t>Confidentiality</w:t>
      </w:r>
      <w:r w:rsidRPr="000937EC">
        <w:rPr>
          <w:b/>
        </w:rPr>
        <w:t xml:space="preserve"> </w:t>
      </w:r>
      <w:r w:rsidRPr="000937EC">
        <w:t>-</w:t>
      </w:r>
      <w:r w:rsidRPr="000937EC">
        <w:rPr>
          <w:b/>
        </w:rPr>
        <w:t xml:space="preserve"> </w:t>
      </w:r>
      <w:r w:rsidRPr="000937EC">
        <w:t>Means that information is not made available or disclosed to unauthorized persons or processes.</w:t>
      </w:r>
    </w:p>
    <w:p w14:paraId="211AA10D" w14:textId="3C539739" w:rsidR="00E04EC2" w:rsidRDefault="00E04EC2" w:rsidP="00FB4D9D">
      <w:pPr>
        <w:pStyle w:val="NoSpacing"/>
      </w:pPr>
    </w:p>
    <w:p w14:paraId="6DDD3042" w14:textId="2350C45F" w:rsidR="00E04EC2" w:rsidRDefault="00E04EC2" w:rsidP="00FB4D9D">
      <w:pPr>
        <w:pStyle w:val="NoSpacing"/>
      </w:pPr>
      <w:r>
        <w:rPr>
          <w:b/>
          <w:u w:val="single"/>
        </w:rPr>
        <w:t>Integrity</w:t>
      </w:r>
      <w:r w:rsidRPr="000937EC">
        <w:rPr>
          <w:b/>
        </w:rPr>
        <w:t xml:space="preserve"> </w:t>
      </w:r>
      <w:r w:rsidRPr="000937EC">
        <w:t>-</w:t>
      </w:r>
      <w:r w:rsidRPr="000937EC">
        <w:rPr>
          <w:b/>
        </w:rPr>
        <w:t xml:space="preserve"> </w:t>
      </w:r>
      <w:r w:rsidRPr="000937EC">
        <w:t xml:space="preserve">Means that information is </w:t>
      </w:r>
      <w:r w:rsidR="00B32C7F">
        <w:t>real, accurate, and safeguarded from unauthorized modification.</w:t>
      </w:r>
    </w:p>
    <w:p w14:paraId="4B70F85F" w14:textId="77777777" w:rsidR="00FB4D9D" w:rsidRPr="000937EC" w:rsidRDefault="00FB4D9D" w:rsidP="00FB4D9D">
      <w:pPr>
        <w:pStyle w:val="NoSpacing"/>
      </w:pPr>
    </w:p>
    <w:p w14:paraId="4FE34570" w14:textId="73AF881A" w:rsidR="00A97E28" w:rsidRDefault="00A97E28" w:rsidP="00FB4D9D">
      <w:pPr>
        <w:pStyle w:val="NoSpacing"/>
      </w:pPr>
      <w:r w:rsidRPr="000937EC">
        <w:rPr>
          <w:b/>
          <w:u w:val="single"/>
        </w:rPr>
        <w:t>Information System</w:t>
      </w:r>
      <w:r w:rsidRPr="000937EC">
        <w:rPr>
          <w:b/>
        </w:rPr>
        <w:t xml:space="preserve"> </w:t>
      </w:r>
      <w:r w:rsidRPr="000937EC">
        <w:t>-</w:t>
      </w:r>
      <w:r w:rsidRPr="000937EC">
        <w:rPr>
          <w:b/>
        </w:rPr>
        <w:t xml:space="preserve"> </w:t>
      </w:r>
      <w:r w:rsidRPr="000937EC">
        <w:t xml:space="preserve">Means any combination of </w:t>
      </w:r>
      <w:hyperlink r:id="rId12" w:tooltip="Information technology" w:history="1">
        <w:r w:rsidRPr="000937EC">
          <w:t>information technology</w:t>
        </w:r>
      </w:hyperlink>
      <w:r w:rsidRPr="000937EC">
        <w:t xml:space="preserve"> and people's activities that support operational, management and decision making processes.  A system normally includes hardware, software, information, data, applications, communications, and people.</w:t>
      </w:r>
    </w:p>
    <w:p w14:paraId="300533CC" w14:textId="77777777" w:rsidR="00FB4D9D" w:rsidRPr="000937EC" w:rsidRDefault="00FB4D9D" w:rsidP="00FB4D9D">
      <w:pPr>
        <w:pStyle w:val="NoSpacing"/>
        <w:rPr>
          <w:u w:val="single"/>
        </w:rPr>
      </w:pPr>
    </w:p>
    <w:p w14:paraId="5CEBB03A" w14:textId="06C9395B" w:rsidR="00A97E28" w:rsidRPr="000937EC" w:rsidRDefault="00A97E28" w:rsidP="00FB4D9D">
      <w:pPr>
        <w:pStyle w:val="NoSpacing"/>
      </w:pPr>
      <w:r w:rsidRPr="000937EC">
        <w:rPr>
          <w:b/>
          <w:u w:val="single"/>
        </w:rPr>
        <w:t>Workforce Member</w:t>
      </w:r>
      <w:r w:rsidRPr="000937EC">
        <w:rPr>
          <w:b/>
        </w:rPr>
        <w:t xml:space="preserve"> </w:t>
      </w:r>
      <w:r w:rsidRPr="000937EC">
        <w:t>-</w:t>
      </w:r>
      <w:r w:rsidRPr="000937EC">
        <w:rPr>
          <w:b/>
        </w:rPr>
        <w:t xml:space="preserve"> </w:t>
      </w:r>
      <w:r w:rsidRPr="000937EC">
        <w:t xml:space="preserve">Means employees and other persons whose conduct, in the performance of work, is under the direct control of </w:t>
      </w:r>
      <w:r w:rsidR="009330D0">
        <w:t>Sun Health</w:t>
      </w:r>
      <w:r w:rsidRPr="000937EC">
        <w:t xml:space="preserve">, whether or not they are paid by </w:t>
      </w:r>
      <w:r w:rsidR="009330D0">
        <w:t>Sun Health</w:t>
      </w:r>
      <w:r w:rsidRPr="000937EC">
        <w:t>.  This includes full and part time employees, contractors, affiliates, associates, students, and volunteers.</w:t>
      </w:r>
    </w:p>
    <w:p w14:paraId="79525FA5" w14:textId="77777777" w:rsidR="0018167F" w:rsidRDefault="0018167F" w:rsidP="0018167F">
      <w:pPr>
        <w:spacing w:line="276" w:lineRule="auto"/>
        <w:rPr>
          <w:rFonts w:ascii="Verdana" w:eastAsia="Times New Roman" w:hAnsi="Verdana" w:cs="Times New Roman"/>
          <w:sz w:val="20"/>
          <w:szCs w:val="20"/>
        </w:rPr>
      </w:pPr>
    </w:p>
    <w:p w14:paraId="3DA9AC6D" w14:textId="77777777" w:rsidR="00FB4D9D" w:rsidRDefault="0018167F" w:rsidP="00FB4D9D">
      <w:pPr>
        <w:pStyle w:val="NoSpacing"/>
        <w:rPr>
          <w:b/>
          <w:sz w:val="28"/>
          <w:szCs w:val="26"/>
        </w:rPr>
      </w:pPr>
      <w:r w:rsidRPr="00FB4D9D">
        <w:rPr>
          <w:b/>
          <w:sz w:val="28"/>
          <w:szCs w:val="26"/>
        </w:rPr>
        <w:t>Distribution</w:t>
      </w:r>
    </w:p>
    <w:p w14:paraId="0AB26508" w14:textId="148745BA" w:rsidR="00EE1B05" w:rsidRPr="0047789B" w:rsidRDefault="0047789B">
      <w:pPr>
        <w:rPr>
          <w:rFonts w:ascii="Verdana" w:hAnsi="Verdana"/>
          <w:sz w:val="20"/>
        </w:rPr>
      </w:pPr>
      <w:r w:rsidRPr="0047789B">
        <w:rPr>
          <w:rFonts w:ascii="Verdana" w:hAnsi="Verdana"/>
          <w:sz w:val="20"/>
        </w:rPr>
        <w:lastRenderedPageBreak/>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9330D0">
        <w:rPr>
          <w:rFonts w:ascii="Verdana" w:hAnsi="Verdana"/>
          <w:sz w:val="20"/>
        </w:rPr>
        <w:t xml:space="preserve">Sun Health </w:t>
      </w:r>
      <w:r w:rsidR="008E7035">
        <w:rPr>
          <w:rFonts w:ascii="Verdana" w:hAnsi="Verdana"/>
          <w:sz w:val="20"/>
        </w:rPr>
        <w:t>HIPAA Security Officer</w:t>
      </w:r>
      <w:r w:rsidRPr="0047789B">
        <w:rPr>
          <w:rFonts w:ascii="Verdana" w:hAnsi="Verdana"/>
          <w:sz w:val="20"/>
        </w:rPr>
        <w:t>.  If no questions or problems are stated, it will be assumed that the policy has been read and understood</w:t>
      </w:r>
      <w:r w:rsidR="00655F53">
        <w:rPr>
          <w:rFonts w:ascii="Verdana" w:hAnsi="Verdana"/>
          <w:sz w:val="20"/>
        </w:rPr>
        <w:t>.</w:t>
      </w:r>
    </w:p>
    <w:p w14:paraId="69119CA5" w14:textId="77777777" w:rsidR="0047789B" w:rsidRPr="0047789B" w:rsidRDefault="0047789B">
      <w:pPr>
        <w:rPr>
          <w:rFonts w:ascii="Verdana" w:hAnsi="Verdana"/>
          <w:sz w:val="20"/>
        </w:rPr>
      </w:pPr>
    </w:p>
    <w:p w14:paraId="4089F974" w14:textId="77777777" w:rsidR="00EE1B05" w:rsidRPr="0067359D" w:rsidRDefault="00EE1B05" w:rsidP="00EE1B05">
      <w:pPr>
        <w:numPr>
          <w:ilvl w:val="1"/>
          <w:numId w:val="0"/>
        </w:numPr>
        <w:rPr>
          <w:rFonts w:ascii="Verdana" w:hAnsi="Verdana"/>
          <w:b/>
          <w:sz w:val="26"/>
          <w:szCs w:val="26"/>
        </w:rPr>
      </w:pPr>
      <w:r w:rsidRPr="0067359D">
        <w:rPr>
          <w:rFonts w:ascii="Verdana" w:hAnsi="Verdana"/>
          <w:b/>
          <w:sz w:val="26"/>
          <w:szCs w:val="26"/>
        </w:rPr>
        <w:t>Applicable Regulations</w:t>
      </w:r>
    </w:p>
    <w:p w14:paraId="19823E18" w14:textId="17DD76E9" w:rsidR="00B62624" w:rsidRDefault="00B62624" w:rsidP="00EE1B05">
      <w:pPr>
        <w:rPr>
          <w:rFonts w:ascii="Verdana" w:eastAsiaTheme="majorEastAsia" w:hAnsi="Verdana" w:cstheme="majorBidi"/>
          <w:b/>
          <w:bCs/>
          <w:color w:val="004176"/>
          <w:sz w:val="28"/>
          <w:szCs w:val="32"/>
        </w:rPr>
      </w:pPr>
    </w:p>
    <w:tbl>
      <w:tblPr>
        <w:tblStyle w:val="TableGrid"/>
        <w:tblW w:w="10183" w:type="dxa"/>
        <w:tblLook w:val="04A0" w:firstRow="1" w:lastRow="0" w:firstColumn="1" w:lastColumn="0" w:noHBand="0" w:noVBand="1"/>
      </w:tblPr>
      <w:tblGrid>
        <w:gridCol w:w="3505"/>
        <w:gridCol w:w="6678"/>
      </w:tblGrid>
      <w:tr w:rsidR="0047789B" w:rsidRPr="0047789B" w14:paraId="1E524431" w14:textId="77777777" w:rsidTr="00A420C6">
        <w:trPr>
          <w:trHeight w:val="288"/>
        </w:trPr>
        <w:tc>
          <w:tcPr>
            <w:tcW w:w="3505" w:type="dxa"/>
          </w:tcPr>
          <w:p w14:paraId="2BF96B50" w14:textId="77777777" w:rsidR="0047789B" w:rsidRPr="0047789B" w:rsidRDefault="0047789B" w:rsidP="00A420C6">
            <w:pPr>
              <w:rPr>
                <w:rFonts w:ascii="Verdana" w:hAnsi="Verdana"/>
                <w:b/>
                <w:sz w:val="20"/>
                <w:szCs w:val="24"/>
              </w:rPr>
            </w:pPr>
            <w:r w:rsidRPr="0047789B">
              <w:rPr>
                <w:rFonts w:ascii="Verdana" w:hAnsi="Verdana"/>
                <w:b/>
                <w:sz w:val="20"/>
                <w:szCs w:val="24"/>
              </w:rPr>
              <w:t>HIPAA Security Rule</w:t>
            </w:r>
          </w:p>
        </w:tc>
        <w:tc>
          <w:tcPr>
            <w:tcW w:w="6678" w:type="dxa"/>
          </w:tcPr>
          <w:p w14:paraId="1A969802" w14:textId="77777777" w:rsidR="0047789B" w:rsidRPr="0047789B" w:rsidRDefault="0047789B" w:rsidP="00A420C6">
            <w:pPr>
              <w:rPr>
                <w:rFonts w:ascii="Verdana" w:hAnsi="Verdana"/>
                <w:b/>
                <w:sz w:val="20"/>
                <w:szCs w:val="24"/>
              </w:rPr>
            </w:pPr>
            <w:r w:rsidRPr="0047789B">
              <w:rPr>
                <w:rFonts w:ascii="Verdana" w:hAnsi="Verdana"/>
                <w:b/>
                <w:sz w:val="20"/>
                <w:szCs w:val="24"/>
              </w:rPr>
              <w:t>45 CFR Part 160 and Subparts A and C of Part 164 </w:t>
            </w:r>
          </w:p>
        </w:tc>
      </w:tr>
      <w:tr w:rsidR="0047789B" w:rsidRPr="002227D4" w14:paraId="7C3F150E" w14:textId="77777777" w:rsidTr="00A420C6">
        <w:trPr>
          <w:trHeight w:val="288"/>
        </w:trPr>
        <w:tc>
          <w:tcPr>
            <w:tcW w:w="3505" w:type="dxa"/>
          </w:tcPr>
          <w:p w14:paraId="550EDFDF" w14:textId="77777777" w:rsidR="0047789B" w:rsidRPr="0047789B" w:rsidRDefault="0047789B" w:rsidP="00A420C6">
            <w:pPr>
              <w:rPr>
                <w:rFonts w:ascii="Verdana" w:hAnsi="Verdana"/>
                <w:sz w:val="20"/>
                <w:szCs w:val="24"/>
              </w:rPr>
            </w:pPr>
            <w:r w:rsidRPr="0047789B">
              <w:rPr>
                <w:rFonts w:ascii="Verdana" w:hAnsi="Verdana"/>
                <w:sz w:val="20"/>
                <w:szCs w:val="24"/>
              </w:rPr>
              <w:t xml:space="preserve">Security Management Process     </w:t>
            </w:r>
          </w:p>
        </w:tc>
        <w:tc>
          <w:tcPr>
            <w:tcW w:w="6678" w:type="dxa"/>
          </w:tcPr>
          <w:p w14:paraId="36AF4035" w14:textId="77777777" w:rsidR="0047789B" w:rsidRPr="0047789B" w:rsidRDefault="0047789B" w:rsidP="00A420C6">
            <w:pPr>
              <w:rPr>
                <w:rFonts w:ascii="Verdana" w:hAnsi="Verdana"/>
                <w:sz w:val="20"/>
                <w:szCs w:val="24"/>
              </w:rPr>
            </w:pPr>
            <w:r w:rsidRPr="0047789B">
              <w:rPr>
                <w:rFonts w:ascii="Verdana" w:hAnsi="Verdana"/>
                <w:sz w:val="20"/>
                <w:szCs w:val="24"/>
              </w:rPr>
              <w:t>§164.308(a)(1), §164.308(a)(1)(ii)(A), §164.308(a)(1)(ii)(B)</w:t>
            </w:r>
          </w:p>
        </w:tc>
      </w:tr>
      <w:tr w:rsidR="0047789B" w:rsidRPr="002227D4" w14:paraId="7F83BDE7" w14:textId="77777777" w:rsidTr="00A420C6">
        <w:trPr>
          <w:trHeight w:val="288"/>
        </w:trPr>
        <w:tc>
          <w:tcPr>
            <w:tcW w:w="3505" w:type="dxa"/>
          </w:tcPr>
          <w:p w14:paraId="1B17B831" w14:textId="65224249" w:rsidR="0047789B" w:rsidRPr="0047789B" w:rsidRDefault="0047789B" w:rsidP="00A420C6">
            <w:pPr>
              <w:rPr>
                <w:rFonts w:ascii="Verdana" w:hAnsi="Verdana"/>
                <w:sz w:val="20"/>
                <w:szCs w:val="24"/>
              </w:rPr>
            </w:pPr>
            <w:r w:rsidRPr="0047789B">
              <w:rPr>
                <w:rFonts w:ascii="Verdana" w:hAnsi="Verdana"/>
                <w:sz w:val="20"/>
                <w:szCs w:val="24"/>
              </w:rPr>
              <w:t xml:space="preserve">Contingency Plan  </w:t>
            </w:r>
          </w:p>
        </w:tc>
        <w:tc>
          <w:tcPr>
            <w:tcW w:w="6678" w:type="dxa"/>
          </w:tcPr>
          <w:p w14:paraId="7801FE3F" w14:textId="2248AE8A" w:rsidR="0047789B" w:rsidRPr="0047789B" w:rsidRDefault="0047789B" w:rsidP="00A420C6">
            <w:pPr>
              <w:rPr>
                <w:rFonts w:ascii="Verdana" w:hAnsi="Verdana"/>
                <w:sz w:val="20"/>
                <w:szCs w:val="24"/>
              </w:rPr>
            </w:pPr>
            <w:r w:rsidRPr="0047789B">
              <w:rPr>
                <w:rFonts w:ascii="Verdana" w:hAnsi="Verdana"/>
                <w:sz w:val="20"/>
                <w:szCs w:val="24"/>
              </w:rPr>
              <w:t>§164.308(a)(7)(ii)(E)</w:t>
            </w:r>
          </w:p>
        </w:tc>
      </w:tr>
    </w:tbl>
    <w:p w14:paraId="6A57D1CF" w14:textId="77777777" w:rsidR="00EE1B05" w:rsidRDefault="00EE1B05" w:rsidP="00EE1B05">
      <w:pPr>
        <w:rPr>
          <w:rFonts w:ascii="Verdana" w:eastAsiaTheme="majorEastAsia" w:hAnsi="Verdana" w:cstheme="majorBidi"/>
          <w:b/>
          <w:bCs/>
          <w:color w:val="004176"/>
          <w:sz w:val="28"/>
          <w:szCs w:val="32"/>
        </w:rPr>
      </w:pPr>
    </w:p>
    <w:p w14:paraId="3494D6B1" w14:textId="77777777" w:rsidR="00EE1B05" w:rsidRPr="0067359D" w:rsidRDefault="00EE1B05" w:rsidP="00EE1B05">
      <w:pPr>
        <w:rPr>
          <w:rFonts w:ascii="Verdana" w:hAnsi="Verdana"/>
          <w:b/>
          <w:sz w:val="26"/>
          <w:szCs w:val="26"/>
        </w:rPr>
      </w:pPr>
      <w:r w:rsidRPr="0067359D">
        <w:rPr>
          <w:rFonts w:ascii="Verdana" w:hAnsi="Verdana"/>
          <w:b/>
          <w:sz w:val="26"/>
          <w:szCs w:val="26"/>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250"/>
        <w:gridCol w:w="1283"/>
        <w:gridCol w:w="877"/>
        <w:gridCol w:w="3405"/>
        <w:gridCol w:w="866"/>
      </w:tblGrid>
      <w:tr w:rsidR="00EE1B05" w:rsidRPr="000D7184" w14:paraId="37F5CAC9" w14:textId="77777777" w:rsidTr="00BD0B66">
        <w:tc>
          <w:tcPr>
            <w:tcW w:w="895" w:type="dxa"/>
            <w:tcBorders>
              <w:top w:val="single" w:sz="4" w:space="0" w:color="auto"/>
              <w:left w:val="single" w:sz="4" w:space="0" w:color="auto"/>
              <w:bottom w:val="single" w:sz="4" w:space="0" w:color="auto"/>
              <w:right w:val="single" w:sz="4" w:space="0" w:color="auto"/>
            </w:tcBorders>
            <w:vAlign w:val="center"/>
            <w:hideMark/>
          </w:tcPr>
          <w:p w14:paraId="4CFD1213" w14:textId="77777777" w:rsidR="00EE1B05" w:rsidRPr="000D7184" w:rsidRDefault="00EE1B05" w:rsidP="00BD0B66">
            <w:pPr>
              <w:spacing w:before="120" w:after="120"/>
              <w:rPr>
                <w:rFonts w:ascii="Arial" w:eastAsia="Times New Roman" w:hAnsi="Arial" w:cs="Arial"/>
              </w:rPr>
            </w:pPr>
            <w:r>
              <w:rPr>
                <w:rFonts w:ascii="Arial" w:eastAsia="Times New Roman" w:hAnsi="Arial" w:cs="Arial"/>
              </w:rPr>
              <w:t>Date: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3AB5193" w14:textId="77777777" w:rsidR="00EE1B05" w:rsidRPr="000D7184" w:rsidRDefault="00EE1B05" w:rsidP="00BD0B66">
            <w:pPr>
              <w:spacing w:before="120" w:after="120"/>
              <w:rPr>
                <w:rFonts w:ascii="Arial" w:eastAsia="Times New Roman" w:hAnsi="Arial" w:cs="Arial"/>
              </w:rPr>
            </w:pPr>
            <w:r>
              <w:rPr>
                <w:rFonts w:ascii="Arial" w:eastAsia="Times New Roman" w:hAnsi="Arial" w:cs="Arial"/>
              </w:rPr>
              <w:t>Reviewed/Revised by:</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E6532BD" w14:textId="77777777" w:rsidR="00EE1B05" w:rsidRPr="000D7184" w:rsidRDefault="00EE1B05" w:rsidP="00BD0B66">
            <w:pPr>
              <w:spacing w:before="120" w:after="120"/>
              <w:rPr>
                <w:rFonts w:ascii="Arial" w:eastAsia="Times New Roman" w:hAnsi="Arial" w:cs="Arial"/>
              </w:rPr>
            </w:pPr>
            <w:r>
              <w:rPr>
                <w:rFonts w:ascii="Arial" w:eastAsia="Times New Roman" w:hAnsi="Arial" w:cs="Arial"/>
                <w:sz w:val="16"/>
                <w:szCs w:val="16"/>
              </w:rPr>
              <w:t>New Changes</w:t>
            </w:r>
          </w:p>
        </w:tc>
        <w:tc>
          <w:tcPr>
            <w:tcW w:w="877" w:type="dxa"/>
            <w:tcBorders>
              <w:top w:val="single" w:sz="4" w:space="0" w:color="auto"/>
              <w:left w:val="single" w:sz="4" w:space="0" w:color="auto"/>
              <w:bottom w:val="single" w:sz="4" w:space="0" w:color="auto"/>
              <w:right w:val="single" w:sz="4" w:space="0" w:color="auto"/>
            </w:tcBorders>
            <w:vAlign w:val="center"/>
            <w:hideMark/>
          </w:tcPr>
          <w:p w14:paraId="0B5881A9" w14:textId="77777777" w:rsidR="00EE1B05" w:rsidRPr="000D7184" w:rsidRDefault="00EE1B05" w:rsidP="00BD0B66">
            <w:pPr>
              <w:spacing w:before="120" w:after="120"/>
              <w:rPr>
                <w:rFonts w:ascii="Arial" w:eastAsia="Times New Roman" w:hAnsi="Arial" w:cs="Arial"/>
              </w:rPr>
            </w:pPr>
            <w:r w:rsidRPr="000D7184">
              <w:rPr>
                <w:rFonts w:ascii="Arial" w:eastAsia="Times New Roman" w:hAnsi="Arial" w:cs="Arial"/>
                <w:sz w:val="16"/>
                <w:szCs w:val="16"/>
              </w:rPr>
              <w:t>No Change</w:t>
            </w:r>
            <w:r w:rsidRPr="000D7184">
              <w:rPr>
                <w:rFonts w:ascii="Arial" w:eastAsia="Times New Roman" w:hAnsi="Arial" w:cs="Arial"/>
              </w:rPr>
              <w:t>√</w:t>
            </w:r>
          </w:p>
        </w:tc>
        <w:tc>
          <w:tcPr>
            <w:tcW w:w="3405" w:type="dxa"/>
            <w:tcBorders>
              <w:top w:val="single" w:sz="4" w:space="0" w:color="auto"/>
              <w:left w:val="single" w:sz="4" w:space="0" w:color="auto"/>
              <w:bottom w:val="single" w:sz="4" w:space="0" w:color="auto"/>
              <w:right w:val="single" w:sz="4" w:space="0" w:color="auto"/>
            </w:tcBorders>
            <w:vAlign w:val="center"/>
            <w:hideMark/>
          </w:tcPr>
          <w:p w14:paraId="5D72F3C1" w14:textId="77777777" w:rsidR="00EE1B05" w:rsidRPr="000D7184" w:rsidRDefault="00EE1B05" w:rsidP="00BD0B66">
            <w:pPr>
              <w:spacing w:before="120" w:after="120"/>
              <w:rPr>
                <w:rFonts w:ascii="Arial" w:eastAsia="Times New Roman" w:hAnsi="Arial" w:cs="Arial"/>
              </w:rPr>
            </w:pPr>
            <w:r>
              <w:rPr>
                <w:rFonts w:ascii="Arial" w:eastAsia="Times New Roman" w:hAnsi="Arial" w:cs="Arial"/>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vAlign w:val="center"/>
          </w:tcPr>
          <w:p w14:paraId="1DFE1845" w14:textId="77777777" w:rsidR="00EE1B05" w:rsidRPr="000D7184" w:rsidRDefault="00EE1B05" w:rsidP="00BD0B66">
            <w:pPr>
              <w:spacing w:before="120" w:after="120"/>
              <w:rPr>
                <w:rFonts w:ascii="Arial" w:eastAsia="Times New Roman" w:hAnsi="Arial" w:cs="Arial"/>
                <w:sz w:val="16"/>
                <w:szCs w:val="16"/>
              </w:rPr>
            </w:pPr>
            <w:r w:rsidRPr="000D7184">
              <w:rPr>
                <w:rFonts w:ascii="Arial" w:eastAsia="Times New Roman" w:hAnsi="Arial" w:cs="Arial"/>
                <w:sz w:val="16"/>
                <w:szCs w:val="16"/>
              </w:rPr>
              <w:t>INITIALS</w:t>
            </w:r>
          </w:p>
        </w:tc>
      </w:tr>
      <w:tr w:rsidR="00EE1B05" w:rsidRPr="000D7184" w14:paraId="1B4B7CED" w14:textId="77777777" w:rsidTr="00BD0B66">
        <w:trPr>
          <w:trHeight w:val="820"/>
        </w:trPr>
        <w:tc>
          <w:tcPr>
            <w:tcW w:w="895" w:type="dxa"/>
            <w:tcBorders>
              <w:top w:val="single" w:sz="4" w:space="0" w:color="auto"/>
              <w:left w:val="single" w:sz="4" w:space="0" w:color="auto"/>
              <w:bottom w:val="single" w:sz="4" w:space="0" w:color="auto"/>
              <w:right w:val="single" w:sz="4" w:space="0" w:color="auto"/>
            </w:tcBorders>
          </w:tcPr>
          <w:p w14:paraId="6B7151F1" w14:textId="77777777" w:rsidR="00EE1B05" w:rsidRPr="000D7184" w:rsidRDefault="00EE1B05" w:rsidP="00BD0B66">
            <w:pPr>
              <w:spacing w:before="120" w:after="120"/>
              <w:rPr>
                <w:rFonts w:ascii="Arial" w:eastAsia="Times New Roman"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tcPr>
          <w:p w14:paraId="75616AFB" w14:textId="77777777" w:rsidR="00EE1B05" w:rsidRPr="000D7184" w:rsidRDefault="00EE1B05" w:rsidP="00BD0B66">
            <w:pPr>
              <w:spacing w:before="120" w:after="120"/>
              <w:rPr>
                <w:rFonts w:ascii="Arial" w:eastAsia="Times New Roman"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55216B2" w14:textId="77777777" w:rsidR="00EE1B05" w:rsidRPr="000D7184" w:rsidRDefault="00EE1B05" w:rsidP="00BD0B66">
            <w:pPr>
              <w:spacing w:before="120" w:after="120"/>
              <w:rPr>
                <w:rFonts w:ascii="Arial" w:eastAsia="Times New Roman"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14:paraId="293D79B7" w14:textId="77777777" w:rsidR="00EE1B05" w:rsidRPr="000D7184" w:rsidRDefault="00EE1B05" w:rsidP="00BD0B66">
            <w:pPr>
              <w:spacing w:before="120" w:after="120"/>
              <w:rPr>
                <w:rFonts w:ascii="Arial" w:eastAsia="Times New Roman" w:hAnsi="Arial" w:cs="Arial"/>
                <w:sz w:val="20"/>
                <w:szCs w:val="20"/>
              </w:rPr>
            </w:pPr>
          </w:p>
        </w:tc>
        <w:tc>
          <w:tcPr>
            <w:tcW w:w="3405" w:type="dxa"/>
            <w:tcBorders>
              <w:top w:val="single" w:sz="4" w:space="0" w:color="auto"/>
              <w:left w:val="single" w:sz="4" w:space="0" w:color="auto"/>
              <w:bottom w:val="single" w:sz="4" w:space="0" w:color="auto"/>
              <w:right w:val="single" w:sz="4" w:space="0" w:color="auto"/>
            </w:tcBorders>
          </w:tcPr>
          <w:p w14:paraId="36732D29" w14:textId="77777777" w:rsidR="00EE1B05" w:rsidRPr="000D7184" w:rsidRDefault="00EE1B05" w:rsidP="00BD0B66">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7B9842E6" w14:textId="77777777" w:rsidR="00EE1B05" w:rsidRPr="000D7184" w:rsidRDefault="00EE1B05" w:rsidP="00BD0B66">
            <w:pPr>
              <w:spacing w:before="120" w:after="120"/>
              <w:rPr>
                <w:rFonts w:ascii="Arial" w:eastAsia="Times New Roman" w:hAnsi="Arial" w:cs="Arial"/>
                <w:sz w:val="20"/>
                <w:szCs w:val="20"/>
              </w:rPr>
            </w:pPr>
          </w:p>
        </w:tc>
      </w:tr>
      <w:tr w:rsidR="00EE1B05" w:rsidRPr="000D7184" w14:paraId="78FCBF61" w14:textId="77777777" w:rsidTr="00BD0B66">
        <w:trPr>
          <w:trHeight w:val="820"/>
        </w:trPr>
        <w:tc>
          <w:tcPr>
            <w:tcW w:w="895" w:type="dxa"/>
            <w:tcBorders>
              <w:top w:val="single" w:sz="4" w:space="0" w:color="auto"/>
              <w:left w:val="single" w:sz="4" w:space="0" w:color="auto"/>
              <w:bottom w:val="single" w:sz="4" w:space="0" w:color="auto"/>
              <w:right w:val="single" w:sz="4" w:space="0" w:color="auto"/>
            </w:tcBorders>
          </w:tcPr>
          <w:p w14:paraId="3A043DE1" w14:textId="77777777" w:rsidR="00EE1B05" w:rsidRPr="000D7184" w:rsidRDefault="00EE1B05" w:rsidP="00BD0B66">
            <w:pPr>
              <w:spacing w:before="120" w:after="120"/>
              <w:rPr>
                <w:rFonts w:ascii="Arial" w:eastAsia="Times New Roman"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tcPr>
          <w:p w14:paraId="4FC6B9E7" w14:textId="77777777" w:rsidR="00EE1B05" w:rsidRPr="000D7184" w:rsidRDefault="00EE1B05" w:rsidP="00BD0B66">
            <w:pPr>
              <w:spacing w:before="120" w:after="120"/>
              <w:rPr>
                <w:rFonts w:ascii="Arial" w:eastAsia="Times New Roman"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5D6B29B" w14:textId="77777777" w:rsidR="00EE1B05" w:rsidRPr="000D7184" w:rsidRDefault="00EE1B05" w:rsidP="00BD0B66">
            <w:pPr>
              <w:spacing w:before="120" w:after="120"/>
              <w:rPr>
                <w:rFonts w:ascii="Arial" w:eastAsia="Times New Roman"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14:paraId="688E960F" w14:textId="77777777" w:rsidR="00EE1B05" w:rsidRPr="000D7184" w:rsidRDefault="00EE1B05" w:rsidP="00BD0B66">
            <w:pPr>
              <w:spacing w:before="120" w:after="120"/>
              <w:rPr>
                <w:rFonts w:ascii="Arial" w:eastAsia="Times New Roman" w:hAnsi="Arial" w:cs="Arial"/>
                <w:sz w:val="20"/>
                <w:szCs w:val="20"/>
              </w:rPr>
            </w:pPr>
          </w:p>
        </w:tc>
        <w:tc>
          <w:tcPr>
            <w:tcW w:w="3405" w:type="dxa"/>
            <w:tcBorders>
              <w:top w:val="single" w:sz="4" w:space="0" w:color="auto"/>
              <w:left w:val="single" w:sz="4" w:space="0" w:color="auto"/>
              <w:bottom w:val="single" w:sz="4" w:space="0" w:color="auto"/>
              <w:right w:val="single" w:sz="4" w:space="0" w:color="auto"/>
            </w:tcBorders>
          </w:tcPr>
          <w:p w14:paraId="411FAEAB" w14:textId="77777777" w:rsidR="00EE1B05" w:rsidRPr="000D7184" w:rsidRDefault="00EE1B05" w:rsidP="00BD0B66">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777C9B34" w14:textId="77777777" w:rsidR="00EE1B05" w:rsidRPr="000D7184" w:rsidRDefault="00EE1B05" w:rsidP="00BD0B66">
            <w:pPr>
              <w:spacing w:before="120" w:after="120"/>
              <w:rPr>
                <w:rFonts w:ascii="Arial" w:eastAsia="Times New Roman" w:hAnsi="Arial" w:cs="Arial"/>
                <w:sz w:val="20"/>
                <w:szCs w:val="20"/>
              </w:rPr>
            </w:pPr>
          </w:p>
          <w:p w14:paraId="025B05DE" w14:textId="77777777" w:rsidR="00EE1B05" w:rsidRPr="000D7184" w:rsidRDefault="00EE1B05" w:rsidP="00BD0B66">
            <w:pPr>
              <w:spacing w:before="120" w:after="120"/>
              <w:rPr>
                <w:rFonts w:ascii="Arial" w:eastAsia="Times New Roman" w:hAnsi="Arial" w:cs="Arial"/>
                <w:sz w:val="20"/>
                <w:szCs w:val="20"/>
              </w:rPr>
            </w:pPr>
          </w:p>
        </w:tc>
      </w:tr>
      <w:tr w:rsidR="00EE1B05" w:rsidRPr="000D7184" w14:paraId="50A2BF67" w14:textId="77777777" w:rsidTr="00BD0B66">
        <w:trPr>
          <w:trHeight w:val="820"/>
        </w:trPr>
        <w:tc>
          <w:tcPr>
            <w:tcW w:w="895" w:type="dxa"/>
            <w:tcBorders>
              <w:top w:val="single" w:sz="4" w:space="0" w:color="auto"/>
              <w:left w:val="single" w:sz="4" w:space="0" w:color="auto"/>
              <w:bottom w:val="single" w:sz="4" w:space="0" w:color="auto"/>
              <w:right w:val="single" w:sz="4" w:space="0" w:color="auto"/>
            </w:tcBorders>
          </w:tcPr>
          <w:p w14:paraId="1346F31D" w14:textId="77777777" w:rsidR="00EE1B05" w:rsidRPr="000D7184" w:rsidRDefault="00EE1B05" w:rsidP="00BD0B66">
            <w:pPr>
              <w:spacing w:before="120" w:after="120"/>
              <w:rPr>
                <w:rFonts w:ascii="Arial" w:eastAsia="Times New Roman" w:hAnsi="Arial" w:cs="Arial"/>
                <w:sz w:val="16"/>
                <w:szCs w:val="16"/>
              </w:rPr>
            </w:pPr>
          </w:p>
        </w:tc>
        <w:tc>
          <w:tcPr>
            <w:tcW w:w="2250" w:type="dxa"/>
            <w:tcBorders>
              <w:top w:val="single" w:sz="4" w:space="0" w:color="auto"/>
              <w:left w:val="single" w:sz="4" w:space="0" w:color="auto"/>
              <w:bottom w:val="single" w:sz="4" w:space="0" w:color="auto"/>
              <w:right w:val="single" w:sz="4" w:space="0" w:color="auto"/>
            </w:tcBorders>
          </w:tcPr>
          <w:p w14:paraId="23E9684B" w14:textId="77777777" w:rsidR="00EE1B05" w:rsidRPr="000D7184" w:rsidRDefault="00EE1B05" w:rsidP="00BD0B66">
            <w:pPr>
              <w:spacing w:before="120" w:after="120"/>
              <w:rPr>
                <w:rFonts w:ascii="Arial" w:eastAsia="Times New Roman"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C52C708" w14:textId="77777777" w:rsidR="00EE1B05" w:rsidRPr="000D7184" w:rsidRDefault="00EE1B05" w:rsidP="00BD0B66">
            <w:pPr>
              <w:spacing w:before="120" w:after="120"/>
              <w:rPr>
                <w:rFonts w:ascii="Arial" w:eastAsia="Times New Roman"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tcPr>
          <w:p w14:paraId="1EAA6A2E" w14:textId="77777777" w:rsidR="00EE1B05" w:rsidRPr="000D7184" w:rsidRDefault="00EE1B05" w:rsidP="00BD0B66">
            <w:pPr>
              <w:spacing w:before="120" w:after="120"/>
              <w:rPr>
                <w:rFonts w:ascii="Arial" w:eastAsia="Times New Roman" w:hAnsi="Arial" w:cs="Arial"/>
                <w:sz w:val="20"/>
                <w:szCs w:val="20"/>
              </w:rPr>
            </w:pPr>
          </w:p>
        </w:tc>
        <w:tc>
          <w:tcPr>
            <w:tcW w:w="3405" w:type="dxa"/>
            <w:tcBorders>
              <w:top w:val="single" w:sz="4" w:space="0" w:color="auto"/>
              <w:left w:val="single" w:sz="4" w:space="0" w:color="auto"/>
              <w:bottom w:val="single" w:sz="4" w:space="0" w:color="auto"/>
              <w:right w:val="single" w:sz="4" w:space="0" w:color="auto"/>
            </w:tcBorders>
          </w:tcPr>
          <w:p w14:paraId="0AB82C3F" w14:textId="77777777" w:rsidR="00EE1B05" w:rsidRPr="000D7184" w:rsidRDefault="00EE1B05" w:rsidP="00BD0B66">
            <w:pPr>
              <w:spacing w:before="120" w:after="120"/>
              <w:rPr>
                <w:rFonts w:ascii="Arial" w:eastAsia="Times New Roman" w:hAnsi="Arial" w:cs="Arial"/>
                <w:sz w:val="20"/>
                <w:szCs w:val="20"/>
              </w:rPr>
            </w:pPr>
          </w:p>
          <w:p w14:paraId="568635F1" w14:textId="77777777" w:rsidR="00EE1B05" w:rsidRPr="000D7184" w:rsidRDefault="00EE1B05" w:rsidP="00BD0B66">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75D03C35" w14:textId="77777777" w:rsidR="00EE1B05" w:rsidRPr="000D7184" w:rsidRDefault="00EE1B05" w:rsidP="00BD0B66">
            <w:pPr>
              <w:spacing w:before="120" w:after="120"/>
              <w:rPr>
                <w:rFonts w:ascii="Arial" w:eastAsia="Times New Roman" w:hAnsi="Arial" w:cs="Arial"/>
                <w:sz w:val="20"/>
                <w:szCs w:val="20"/>
              </w:rPr>
            </w:pPr>
          </w:p>
        </w:tc>
      </w:tr>
    </w:tbl>
    <w:p w14:paraId="2B5A3802" w14:textId="54BCC575" w:rsidR="00B15772" w:rsidRDefault="00B15772">
      <w:pPr>
        <w:rPr>
          <w:rFonts w:ascii="Verdana" w:eastAsia="Times New Roman" w:hAnsi="Verdana" w:cs="Times New Roman"/>
          <w:b/>
          <w:color w:val="1F497D" w:themeColor="text2"/>
          <w:sz w:val="26"/>
          <w:szCs w:val="26"/>
        </w:rPr>
      </w:pPr>
    </w:p>
    <w:p w14:paraId="6632440E" w14:textId="6191062C" w:rsidR="0050447D" w:rsidRDefault="0050447D" w:rsidP="0018167F"/>
    <w:p w14:paraId="3169C57F" w14:textId="77777777" w:rsidR="0050447D" w:rsidRDefault="0050447D" w:rsidP="0018167F"/>
    <w:p w14:paraId="6BF9938C" w14:textId="77777777" w:rsidR="0050447D" w:rsidRDefault="0050447D" w:rsidP="0050447D">
      <w:pPr>
        <w:widowControl w:val="0"/>
        <w:suppressAutoHyphens/>
        <w:autoSpaceDN w:val="0"/>
        <w:spacing w:after="120"/>
        <w:textAlignment w:val="baseline"/>
        <w:rPr>
          <w:rFonts w:ascii="Verdana" w:eastAsia="SimSun" w:hAnsi="Verdana" w:cs="Mangal"/>
          <w:kern w:val="3"/>
          <w:sz w:val="18"/>
          <w:szCs w:val="11"/>
          <w:lang w:eastAsia="zh-CN" w:bidi="hi-IN"/>
        </w:rPr>
      </w:pPr>
      <w:r>
        <w:rPr>
          <w:rFonts w:ascii="Verdana" w:eastAsia="SimSun" w:hAnsi="Verdana" w:cs="Mangal"/>
          <w:kern w:val="3"/>
          <w:sz w:val="18"/>
          <w:szCs w:val="11"/>
          <w:lang w:eastAsia="zh-CN" w:bidi="hi-IN"/>
        </w:rPr>
        <w:t xml:space="preserve">This policy is subject to the Master Service Agreement, confidential, and for internal business use only.  </w:t>
      </w:r>
    </w:p>
    <w:p w14:paraId="609E540C" w14:textId="77777777" w:rsidR="0050447D" w:rsidRDefault="0050447D" w:rsidP="0050447D">
      <w:pPr>
        <w:spacing w:after="120" w:line="100" w:lineRule="atLeast"/>
        <w:rPr>
          <w:rFonts w:ascii="Verdana" w:hAnsi="Verdana"/>
          <w:sz w:val="18"/>
          <w:szCs w:val="11"/>
        </w:rPr>
      </w:pPr>
      <w:r>
        <w:rPr>
          <w:rFonts w:ascii="Verdana" w:hAnsi="Verdana"/>
          <w:sz w:val="18"/>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41CA6F01" w14:textId="77777777" w:rsidR="0050447D" w:rsidRPr="00427207" w:rsidRDefault="0050447D" w:rsidP="0018167F"/>
    <w:sectPr w:rsidR="0050447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D248" w14:textId="77777777" w:rsidR="006978B0" w:rsidRDefault="006978B0" w:rsidP="00B16FB4">
      <w:r>
        <w:separator/>
      </w:r>
    </w:p>
  </w:endnote>
  <w:endnote w:type="continuationSeparator" w:id="0">
    <w:p w14:paraId="6F8B041C" w14:textId="77777777" w:rsidR="006978B0" w:rsidRDefault="006978B0"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628592711"/>
      <w:docPartObj>
        <w:docPartGallery w:val="Page Numbers (Top of Page)"/>
        <w:docPartUnique/>
      </w:docPartObj>
    </w:sdtPr>
    <w:sdtEndPr/>
    <w:sdtContent>
      <w:p w14:paraId="0910FCCF" w14:textId="0BA9FECE" w:rsidR="006C137B" w:rsidRPr="006C137B" w:rsidRDefault="00F41044" w:rsidP="00F41044">
        <w:pPr>
          <w:pStyle w:val="Footer"/>
          <w:ind w:right="-986"/>
          <w:rPr>
            <w:color w:val="FFFFFF" w:themeColor="background1"/>
          </w:rPr>
        </w:pPr>
        <w:r>
          <w:rPr>
            <w:color w:val="FFFFFF" w:themeColor="background1"/>
          </w:rPr>
          <w:t xml:space="preserve">      </w:t>
        </w:r>
        <w:r w:rsidR="00676F6F">
          <w:rPr>
            <w:color w:val="FFFFFF" w:themeColor="background1"/>
            <w:sz w:val="16"/>
          </w:rPr>
          <w:t>© 201</w:t>
        </w:r>
        <w:r w:rsidR="00515B72">
          <w:rPr>
            <w:color w:val="FFFFFF" w:themeColor="background1"/>
            <w:sz w:val="16"/>
          </w:rPr>
          <w:t>8</w:t>
        </w:r>
        <w:r w:rsidR="006C137B" w:rsidRPr="006C137B">
          <w:rPr>
            <w:color w:val="FFFFFF" w:themeColor="background1"/>
            <w:sz w:val="16"/>
          </w:rPr>
          <w:t xml:space="preserve"> BlueOrange Compliance. Confidential – For Internal Use Only. Disclosure to Unauthorized Parties is Prohibited. </w:t>
        </w:r>
        <w:r w:rsidR="006C137B">
          <w:rPr>
            <w:color w:val="FFFFFF" w:themeColor="background1"/>
          </w:rPr>
          <w:tab/>
          <w:t xml:space="preserve">   </w:t>
        </w:r>
        <w:r>
          <w:rPr>
            <w:color w:val="FFFFFF" w:themeColor="background1"/>
          </w:rPr>
          <w:t xml:space="preserve">                </w:t>
        </w:r>
        <w:r w:rsidR="006C137B">
          <w:rPr>
            <w:color w:val="FFFFFF" w:themeColor="background1"/>
          </w:rPr>
          <w:t xml:space="preserve"> </w:t>
        </w:r>
        <w:r w:rsidR="006C137B" w:rsidRPr="006C137B">
          <w:rPr>
            <w:color w:val="FFFFFF" w:themeColor="background1"/>
          </w:rPr>
          <w:t xml:space="preserve">Page </w:t>
        </w:r>
        <w:r w:rsidR="006C137B" w:rsidRPr="006C137B">
          <w:rPr>
            <w:b/>
            <w:bCs/>
            <w:color w:val="FFFFFF" w:themeColor="background1"/>
          </w:rPr>
          <w:fldChar w:fldCharType="begin"/>
        </w:r>
        <w:r w:rsidR="006C137B" w:rsidRPr="006C137B">
          <w:rPr>
            <w:b/>
            <w:bCs/>
            <w:color w:val="FFFFFF" w:themeColor="background1"/>
          </w:rPr>
          <w:instrText xml:space="preserve"> PAGE </w:instrText>
        </w:r>
        <w:r w:rsidR="006C137B" w:rsidRPr="006C137B">
          <w:rPr>
            <w:b/>
            <w:bCs/>
            <w:color w:val="FFFFFF" w:themeColor="background1"/>
          </w:rPr>
          <w:fldChar w:fldCharType="separate"/>
        </w:r>
        <w:r w:rsidR="0043547E">
          <w:rPr>
            <w:b/>
            <w:bCs/>
            <w:noProof/>
            <w:color w:val="FFFFFF" w:themeColor="background1"/>
          </w:rPr>
          <w:t>4</w:t>
        </w:r>
        <w:r w:rsidR="006C137B" w:rsidRPr="006C137B">
          <w:rPr>
            <w:b/>
            <w:bCs/>
            <w:color w:val="FFFFFF" w:themeColor="background1"/>
          </w:rPr>
          <w:fldChar w:fldCharType="end"/>
        </w:r>
        <w:r w:rsidR="006C137B" w:rsidRPr="006C137B">
          <w:rPr>
            <w:color w:val="FFFFFF" w:themeColor="background1"/>
          </w:rPr>
          <w:t xml:space="preserve"> of </w:t>
        </w:r>
        <w:r w:rsidR="006C137B" w:rsidRPr="006C137B">
          <w:rPr>
            <w:b/>
            <w:bCs/>
            <w:color w:val="FFFFFF" w:themeColor="background1"/>
          </w:rPr>
          <w:fldChar w:fldCharType="begin"/>
        </w:r>
        <w:r w:rsidR="006C137B" w:rsidRPr="006C137B">
          <w:rPr>
            <w:b/>
            <w:bCs/>
            <w:color w:val="FFFFFF" w:themeColor="background1"/>
          </w:rPr>
          <w:instrText xml:space="preserve"> NUMPAGES  </w:instrText>
        </w:r>
        <w:r w:rsidR="006C137B" w:rsidRPr="006C137B">
          <w:rPr>
            <w:b/>
            <w:bCs/>
            <w:color w:val="FFFFFF" w:themeColor="background1"/>
          </w:rPr>
          <w:fldChar w:fldCharType="separate"/>
        </w:r>
        <w:r w:rsidR="0043547E">
          <w:rPr>
            <w:b/>
            <w:bCs/>
            <w:noProof/>
            <w:color w:val="FFFFFF" w:themeColor="background1"/>
          </w:rPr>
          <w:t>4</w:t>
        </w:r>
        <w:r w:rsidR="006C137B" w:rsidRPr="006C137B">
          <w:rPr>
            <w:b/>
            <w:bCs/>
            <w:color w:val="FFFFFF" w:themeColor="background1"/>
          </w:rPr>
          <w:fldChar w:fldCharType="end"/>
        </w:r>
      </w:p>
    </w:sdtContent>
  </w:sdt>
  <w:p w14:paraId="7405AA0E" w14:textId="6B6C68A2"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1434" w14:textId="77777777" w:rsidR="006978B0" w:rsidRDefault="006978B0" w:rsidP="00B16FB4">
      <w:r>
        <w:separator/>
      </w:r>
    </w:p>
  </w:footnote>
  <w:footnote w:type="continuationSeparator" w:id="0">
    <w:p w14:paraId="230A27E2" w14:textId="77777777" w:rsidR="006978B0" w:rsidRDefault="006978B0"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85F3" w14:textId="77777777" w:rsidR="00071506" w:rsidRDefault="00071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71D68DCD" w:rsidR="00A747C4" w:rsidRPr="0063028F" w:rsidRDefault="00A747C4" w:rsidP="009F5955">
    <w:pPr>
      <w:pStyle w:val="Header"/>
      <w:ind w:left="-900"/>
      <w:rPr>
        <w:color w:val="FFFFFF"/>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D00"/>
    <w:multiLevelType w:val="hybridMultilevel"/>
    <w:tmpl w:val="85EAFD04"/>
    <w:lvl w:ilvl="0" w:tplc="8F8C768E">
      <w:start w:val="45"/>
      <w:numFmt w:val="bullet"/>
      <w:lvlText w:val="-"/>
      <w:lvlJc w:val="left"/>
      <w:pPr>
        <w:ind w:left="405" w:hanging="360"/>
      </w:pPr>
      <w:rPr>
        <w:rFonts w:ascii="Cambria" w:eastAsiaTheme="minorEastAsia"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21A1AB4"/>
    <w:multiLevelType w:val="hybridMultilevel"/>
    <w:tmpl w:val="A7888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56D5"/>
    <w:multiLevelType w:val="hybridMultilevel"/>
    <w:tmpl w:val="9E80086A"/>
    <w:lvl w:ilvl="0" w:tplc="0DACBEB6">
      <w:start w:val="1"/>
      <w:numFmt w:val="upperLetter"/>
      <w:lvlText w:val="%1."/>
      <w:lvlJc w:val="left"/>
      <w:pPr>
        <w:ind w:left="2340" w:hanging="360"/>
      </w:pPr>
      <w:rPr>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67D5643"/>
    <w:multiLevelType w:val="hybridMultilevel"/>
    <w:tmpl w:val="1982D2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244544"/>
    <w:multiLevelType w:val="hybridMultilevel"/>
    <w:tmpl w:val="D27091A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49A4722"/>
    <w:multiLevelType w:val="hybridMultilevel"/>
    <w:tmpl w:val="7030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35090"/>
    <w:multiLevelType w:val="hybridMultilevel"/>
    <w:tmpl w:val="BC6E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530F9"/>
    <w:multiLevelType w:val="hybridMultilevel"/>
    <w:tmpl w:val="D9CCE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B6D43"/>
    <w:multiLevelType w:val="hybridMultilevel"/>
    <w:tmpl w:val="A7888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A4BCE"/>
    <w:multiLevelType w:val="hybridMultilevel"/>
    <w:tmpl w:val="E1643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025FA"/>
    <w:multiLevelType w:val="hybridMultilevel"/>
    <w:tmpl w:val="C5E45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165CD"/>
    <w:multiLevelType w:val="hybridMultilevel"/>
    <w:tmpl w:val="AA90D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50E6D"/>
    <w:multiLevelType w:val="hybridMultilevel"/>
    <w:tmpl w:val="56A6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F7E43"/>
    <w:multiLevelType w:val="hybridMultilevel"/>
    <w:tmpl w:val="D6CE2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FD7701"/>
    <w:multiLevelType w:val="hybridMultilevel"/>
    <w:tmpl w:val="8C5A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A4BA6"/>
    <w:multiLevelType w:val="hybridMultilevel"/>
    <w:tmpl w:val="7030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018263">
    <w:abstractNumId w:val="16"/>
  </w:num>
  <w:num w:numId="2" w16cid:durableId="255210909">
    <w:abstractNumId w:val="5"/>
  </w:num>
  <w:num w:numId="3" w16cid:durableId="944508232">
    <w:abstractNumId w:val="13"/>
  </w:num>
  <w:num w:numId="4" w16cid:durableId="980354830">
    <w:abstractNumId w:val="15"/>
  </w:num>
  <w:num w:numId="5" w16cid:durableId="643854390">
    <w:abstractNumId w:val="9"/>
  </w:num>
  <w:num w:numId="6" w16cid:durableId="862865215">
    <w:abstractNumId w:val="4"/>
  </w:num>
  <w:num w:numId="7" w16cid:durableId="732000631">
    <w:abstractNumId w:val="7"/>
  </w:num>
  <w:num w:numId="8" w16cid:durableId="2110082944">
    <w:abstractNumId w:val="14"/>
  </w:num>
  <w:num w:numId="9" w16cid:durableId="696127345">
    <w:abstractNumId w:val="2"/>
  </w:num>
  <w:num w:numId="10" w16cid:durableId="228662882">
    <w:abstractNumId w:val="3"/>
  </w:num>
  <w:num w:numId="11" w16cid:durableId="1327977829">
    <w:abstractNumId w:val="12"/>
  </w:num>
  <w:num w:numId="12" w16cid:durableId="1855345387">
    <w:abstractNumId w:val="6"/>
  </w:num>
  <w:num w:numId="13" w16cid:durableId="1687168575">
    <w:abstractNumId w:val="10"/>
  </w:num>
  <w:num w:numId="14" w16cid:durableId="1843812066">
    <w:abstractNumId w:val="8"/>
  </w:num>
  <w:num w:numId="15" w16cid:durableId="1101990857">
    <w:abstractNumId w:val="1"/>
  </w:num>
  <w:num w:numId="16" w16cid:durableId="1713572064">
    <w:abstractNumId w:val="0"/>
  </w:num>
  <w:num w:numId="17" w16cid:durableId="70814665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21A5C"/>
    <w:rsid w:val="00030DFB"/>
    <w:rsid w:val="000313F4"/>
    <w:rsid w:val="00031E57"/>
    <w:rsid w:val="00033FC1"/>
    <w:rsid w:val="00036E69"/>
    <w:rsid w:val="00071506"/>
    <w:rsid w:val="000A2E61"/>
    <w:rsid w:val="000D6FCB"/>
    <w:rsid w:val="000F36D5"/>
    <w:rsid w:val="001152E6"/>
    <w:rsid w:val="00130958"/>
    <w:rsid w:val="00156AAE"/>
    <w:rsid w:val="001815DF"/>
    <w:rsid w:val="0018167F"/>
    <w:rsid w:val="001943C1"/>
    <w:rsid w:val="001A3862"/>
    <w:rsid w:val="001A79B4"/>
    <w:rsid w:val="001B3335"/>
    <w:rsid w:val="001D168A"/>
    <w:rsid w:val="002033BA"/>
    <w:rsid w:val="0020431B"/>
    <w:rsid w:val="0022053C"/>
    <w:rsid w:val="00220B75"/>
    <w:rsid w:val="00225B95"/>
    <w:rsid w:val="00226AF0"/>
    <w:rsid w:val="002306B4"/>
    <w:rsid w:val="0026638E"/>
    <w:rsid w:val="00267583"/>
    <w:rsid w:val="00281F54"/>
    <w:rsid w:val="002A3675"/>
    <w:rsid w:val="002B032B"/>
    <w:rsid w:val="002B7950"/>
    <w:rsid w:val="002C151F"/>
    <w:rsid w:val="002C26F2"/>
    <w:rsid w:val="002C3110"/>
    <w:rsid w:val="00313BB8"/>
    <w:rsid w:val="003358AB"/>
    <w:rsid w:val="00336849"/>
    <w:rsid w:val="003733FD"/>
    <w:rsid w:val="003744ED"/>
    <w:rsid w:val="00383ED7"/>
    <w:rsid w:val="00397219"/>
    <w:rsid w:val="003B7664"/>
    <w:rsid w:val="003C06EE"/>
    <w:rsid w:val="003C29C9"/>
    <w:rsid w:val="003E1DC6"/>
    <w:rsid w:val="003E6F83"/>
    <w:rsid w:val="00402F55"/>
    <w:rsid w:val="00404C70"/>
    <w:rsid w:val="00424090"/>
    <w:rsid w:val="00427207"/>
    <w:rsid w:val="0043547E"/>
    <w:rsid w:val="004472A7"/>
    <w:rsid w:val="00451A59"/>
    <w:rsid w:val="0047789B"/>
    <w:rsid w:val="00480EB8"/>
    <w:rsid w:val="0050447D"/>
    <w:rsid w:val="00515B72"/>
    <w:rsid w:val="00533322"/>
    <w:rsid w:val="00547782"/>
    <w:rsid w:val="00552658"/>
    <w:rsid w:val="00556649"/>
    <w:rsid w:val="005575D4"/>
    <w:rsid w:val="00577721"/>
    <w:rsid w:val="005B586A"/>
    <w:rsid w:val="005D3840"/>
    <w:rsid w:val="005E3A0D"/>
    <w:rsid w:val="005E74B8"/>
    <w:rsid w:val="005F7A60"/>
    <w:rsid w:val="00620DB1"/>
    <w:rsid w:val="00624669"/>
    <w:rsid w:val="0063028F"/>
    <w:rsid w:val="00633B04"/>
    <w:rsid w:val="00655F53"/>
    <w:rsid w:val="00673409"/>
    <w:rsid w:val="00674A2E"/>
    <w:rsid w:val="00676F6F"/>
    <w:rsid w:val="00683885"/>
    <w:rsid w:val="00690501"/>
    <w:rsid w:val="006934E4"/>
    <w:rsid w:val="006978B0"/>
    <w:rsid w:val="006B0791"/>
    <w:rsid w:val="006B6DB1"/>
    <w:rsid w:val="006C137B"/>
    <w:rsid w:val="00725B3C"/>
    <w:rsid w:val="0072738D"/>
    <w:rsid w:val="007452C9"/>
    <w:rsid w:val="00751FE3"/>
    <w:rsid w:val="00754779"/>
    <w:rsid w:val="00755D4B"/>
    <w:rsid w:val="00756033"/>
    <w:rsid w:val="00764C11"/>
    <w:rsid w:val="00783709"/>
    <w:rsid w:val="007A5A95"/>
    <w:rsid w:val="007D2BD2"/>
    <w:rsid w:val="00802549"/>
    <w:rsid w:val="008102F0"/>
    <w:rsid w:val="00811DB9"/>
    <w:rsid w:val="00821BB0"/>
    <w:rsid w:val="00832E2F"/>
    <w:rsid w:val="008368C8"/>
    <w:rsid w:val="00852E36"/>
    <w:rsid w:val="0086555E"/>
    <w:rsid w:val="00892E08"/>
    <w:rsid w:val="008C1D1D"/>
    <w:rsid w:val="008E1D3E"/>
    <w:rsid w:val="008E51EE"/>
    <w:rsid w:val="008E7035"/>
    <w:rsid w:val="00924F9B"/>
    <w:rsid w:val="009330D0"/>
    <w:rsid w:val="00942CE7"/>
    <w:rsid w:val="009B6731"/>
    <w:rsid w:val="009D3196"/>
    <w:rsid w:val="009D6673"/>
    <w:rsid w:val="009F5955"/>
    <w:rsid w:val="00A0000B"/>
    <w:rsid w:val="00A05361"/>
    <w:rsid w:val="00A056E9"/>
    <w:rsid w:val="00A103D3"/>
    <w:rsid w:val="00A2358E"/>
    <w:rsid w:val="00A23D6B"/>
    <w:rsid w:val="00A533E6"/>
    <w:rsid w:val="00A55853"/>
    <w:rsid w:val="00A60F0E"/>
    <w:rsid w:val="00A6598E"/>
    <w:rsid w:val="00A7125B"/>
    <w:rsid w:val="00A747C4"/>
    <w:rsid w:val="00A76046"/>
    <w:rsid w:val="00A769E0"/>
    <w:rsid w:val="00A930AF"/>
    <w:rsid w:val="00A97E28"/>
    <w:rsid w:val="00AA1C24"/>
    <w:rsid w:val="00AD231B"/>
    <w:rsid w:val="00AD30E8"/>
    <w:rsid w:val="00AE5178"/>
    <w:rsid w:val="00AE5DFB"/>
    <w:rsid w:val="00AE6064"/>
    <w:rsid w:val="00B15772"/>
    <w:rsid w:val="00B1658A"/>
    <w:rsid w:val="00B16FB4"/>
    <w:rsid w:val="00B32C7F"/>
    <w:rsid w:val="00B557B9"/>
    <w:rsid w:val="00B62624"/>
    <w:rsid w:val="00B81326"/>
    <w:rsid w:val="00BC1A51"/>
    <w:rsid w:val="00BC2365"/>
    <w:rsid w:val="00BE593A"/>
    <w:rsid w:val="00C24B35"/>
    <w:rsid w:val="00C27679"/>
    <w:rsid w:val="00C27C79"/>
    <w:rsid w:val="00C41399"/>
    <w:rsid w:val="00C46ADC"/>
    <w:rsid w:val="00C545E2"/>
    <w:rsid w:val="00C803FE"/>
    <w:rsid w:val="00C8281B"/>
    <w:rsid w:val="00C94D6E"/>
    <w:rsid w:val="00CD4C29"/>
    <w:rsid w:val="00D026D6"/>
    <w:rsid w:val="00D14FB5"/>
    <w:rsid w:val="00D23F95"/>
    <w:rsid w:val="00D37529"/>
    <w:rsid w:val="00D57034"/>
    <w:rsid w:val="00D806C9"/>
    <w:rsid w:val="00D953C0"/>
    <w:rsid w:val="00D95992"/>
    <w:rsid w:val="00D95F0A"/>
    <w:rsid w:val="00DB0569"/>
    <w:rsid w:val="00DB43B4"/>
    <w:rsid w:val="00DC46A7"/>
    <w:rsid w:val="00DD16B0"/>
    <w:rsid w:val="00DE4EB4"/>
    <w:rsid w:val="00DF28D0"/>
    <w:rsid w:val="00DF6CA6"/>
    <w:rsid w:val="00E04EC2"/>
    <w:rsid w:val="00E05AC7"/>
    <w:rsid w:val="00E30054"/>
    <w:rsid w:val="00E56839"/>
    <w:rsid w:val="00E67980"/>
    <w:rsid w:val="00E67E0E"/>
    <w:rsid w:val="00EB1807"/>
    <w:rsid w:val="00EB3BB9"/>
    <w:rsid w:val="00ED3A8C"/>
    <w:rsid w:val="00EE1B05"/>
    <w:rsid w:val="00F01761"/>
    <w:rsid w:val="00F16BD7"/>
    <w:rsid w:val="00F206A8"/>
    <w:rsid w:val="00F25287"/>
    <w:rsid w:val="00F27BFD"/>
    <w:rsid w:val="00F36E37"/>
    <w:rsid w:val="00F41044"/>
    <w:rsid w:val="00F42DF2"/>
    <w:rsid w:val="00F85FF4"/>
    <w:rsid w:val="00F90386"/>
    <w:rsid w:val="00FB4D9D"/>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93A"/>
    <w:pPr>
      <w:keepNext/>
      <w:keepLines/>
      <w:spacing w:before="480"/>
      <w:outlineLvl w:val="0"/>
    </w:pPr>
    <w:rPr>
      <w:rFonts w:ascii="Verdana" w:eastAsiaTheme="majorEastAsia" w:hAnsi="Verdan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ascii="Verdana" w:eastAsiaTheme="majorEastAsia" w:hAnsi="Verdan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rFonts w:ascii="Verdana" w:hAnsi="Verdana"/>
      <w:sz w:val="22"/>
    </w:rPr>
  </w:style>
  <w:style w:type="paragraph" w:styleId="TOC2">
    <w:name w:val="toc 2"/>
    <w:aliases w:val="BO - TOC subhead"/>
    <w:basedOn w:val="Normal"/>
    <w:next w:val="Normal"/>
    <w:autoRedefine/>
    <w:uiPriority w:val="39"/>
    <w:unhideWhenUsed/>
    <w:rsid w:val="008102F0"/>
    <w:pPr>
      <w:spacing w:line="480" w:lineRule="auto"/>
      <w:ind w:left="240"/>
    </w:pPr>
    <w:rPr>
      <w:rFonts w:ascii="Verdana" w:hAnsi="Verdana"/>
      <w:sz w:val="22"/>
      <w:szCs w:val="22"/>
    </w:rPr>
  </w:style>
  <w:style w:type="paragraph" w:styleId="TOC3">
    <w:name w:val="toc 3"/>
    <w:basedOn w:val="Normal"/>
    <w:next w:val="Normal"/>
    <w:autoRedefine/>
    <w:uiPriority w:val="39"/>
    <w:unhideWhenUsed/>
    <w:rsid w:val="008102F0"/>
    <w:pPr>
      <w:ind w:left="480"/>
    </w:pPr>
    <w:rPr>
      <w:rFonts w:ascii="Verdana" w:hAnsi="Verdana"/>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754779"/>
    <w:rPr>
      <w:rFonts w:ascii="Verdana" w:hAnsi="Verdana"/>
      <w:sz w:val="20"/>
    </w:rPr>
  </w:style>
  <w:style w:type="table" w:customStyle="1" w:styleId="TableGrid12">
    <w:name w:val="Table Grid12"/>
    <w:basedOn w:val="TableNormal"/>
    <w:next w:val="TableGrid"/>
    <w:uiPriority w:val="59"/>
    <w:rsid w:val="00EE1B0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DFB"/>
    <w:rPr>
      <w:sz w:val="16"/>
      <w:szCs w:val="16"/>
    </w:rPr>
  </w:style>
  <w:style w:type="paragraph" w:styleId="CommentText">
    <w:name w:val="annotation text"/>
    <w:basedOn w:val="Normal"/>
    <w:link w:val="CommentTextChar"/>
    <w:uiPriority w:val="99"/>
    <w:semiHidden/>
    <w:unhideWhenUsed/>
    <w:rsid w:val="00AE5DFB"/>
    <w:rPr>
      <w:sz w:val="20"/>
      <w:szCs w:val="20"/>
    </w:rPr>
  </w:style>
  <w:style w:type="character" w:customStyle="1" w:styleId="CommentTextChar">
    <w:name w:val="Comment Text Char"/>
    <w:basedOn w:val="DefaultParagraphFont"/>
    <w:link w:val="CommentText"/>
    <w:uiPriority w:val="99"/>
    <w:semiHidden/>
    <w:rsid w:val="00AE5DFB"/>
    <w:rPr>
      <w:sz w:val="20"/>
      <w:szCs w:val="20"/>
    </w:rPr>
  </w:style>
  <w:style w:type="paragraph" w:styleId="CommentSubject">
    <w:name w:val="annotation subject"/>
    <w:basedOn w:val="CommentText"/>
    <w:next w:val="CommentText"/>
    <w:link w:val="CommentSubjectChar"/>
    <w:uiPriority w:val="99"/>
    <w:semiHidden/>
    <w:unhideWhenUsed/>
    <w:rsid w:val="00AE5DFB"/>
    <w:rPr>
      <w:b/>
      <w:bCs/>
    </w:rPr>
  </w:style>
  <w:style w:type="character" w:customStyle="1" w:styleId="CommentSubjectChar">
    <w:name w:val="Comment Subject Char"/>
    <w:basedOn w:val="CommentTextChar"/>
    <w:link w:val="CommentSubject"/>
    <w:uiPriority w:val="99"/>
    <w:semiHidden/>
    <w:rsid w:val="00AE5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1885">
      <w:bodyDiv w:val="1"/>
      <w:marLeft w:val="0"/>
      <w:marRight w:val="0"/>
      <w:marTop w:val="0"/>
      <w:marBottom w:val="0"/>
      <w:divBdr>
        <w:top w:val="none" w:sz="0" w:space="0" w:color="auto"/>
        <w:left w:val="none" w:sz="0" w:space="0" w:color="auto"/>
        <w:bottom w:val="none" w:sz="0" w:space="0" w:color="auto"/>
        <w:right w:val="none" w:sz="0" w:space="0" w:color="auto"/>
      </w:divBdr>
    </w:div>
    <w:div w:id="286200384">
      <w:bodyDiv w:val="1"/>
      <w:marLeft w:val="0"/>
      <w:marRight w:val="0"/>
      <w:marTop w:val="0"/>
      <w:marBottom w:val="0"/>
      <w:divBdr>
        <w:top w:val="none" w:sz="0" w:space="0" w:color="auto"/>
        <w:left w:val="none" w:sz="0" w:space="0" w:color="auto"/>
        <w:bottom w:val="none" w:sz="0" w:space="0" w:color="auto"/>
        <w:right w:val="none" w:sz="0" w:space="0" w:color="auto"/>
      </w:divBdr>
    </w:div>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51735450">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568080414">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9FD1D-F563-4FF4-A732-A91962C89D24}">
  <ds:schemaRefs>
    <ds:schemaRef ds:uri="http://schemas.openxmlformats.org/officeDocument/2006/bibliography"/>
  </ds:schemaRefs>
</ds:datastoreItem>
</file>

<file path=customXml/itemProps2.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1DDC5-7BC1-43C9-AFE1-B355FA148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535F3-4BF6-44FE-8FFB-6CD7C5FB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2</cp:revision>
  <cp:lastPrinted>2018-03-09T14:20:00Z</cp:lastPrinted>
  <dcterms:created xsi:type="dcterms:W3CDTF">2022-06-08T20:58:00Z</dcterms:created>
  <dcterms:modified xsi:type="dcterms:W3CDTF">2022-06-08T20:58:00Z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2017-10-08T21:25:17.1488270-04:00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