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3D2E253E" w:rsidR="00871F7A" w:rsidRPr="00C77426" w:rsidRDefault="00871F7A" w:rsidP="00397FA7">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397FA7">
              <w:rPr>
                <w:rFonts w:eastAsia="Times New Roman" w:cs="Times New Roman"/>
                <w:b/>
                <w:sz w:val="20"/>
                <w:szCs w:val="20"/>
              </w:rPr>
              <w:t xml:space="preserve">Physical and Environmental Security Policy </w:t>
            </w:r>
            <w:r w:rsidR="00810987">
              <w:rPr>
                <w:rFonts w:eastAsia="Times New Roman" w:cs="Times New Roman"/>
                <w:b/>
                <w:sz w:val="20"/>
                <w:szCs w:val="20"/>
              </w:rPr>
              <w:t xml:space="preserve">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313EBE9D"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D9180D">
              <w:rPr>
                <w:rFonts w:eastAsia="Times New Roman" w:cs="Times New Roman"/>
                <w:b/>
                <w:sz w:val="20"/>
                <w:szCs w:val="20"/>
              </w:rPr>
              <w:t xml:space="preserve"> Information Technology, Human Resources, Operations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1196C569"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DD768C">
              <w:rPr>
                <w:rFonts w:eastAsia="Times New Roman"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9C844DD" w14:textId="2F6BF19B"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DD768C">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61BD12B3"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D9180D">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01A26EEE"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D9180D">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41A8E520"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D9180D">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F1213D">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7B810989" w14:textId="529C9C19" w:rsidR="00810987" w:rsidRDefault="00397FA7" w:rsidP="00881786">
      <w:pPr>
        <w:rPr>
          <w:rFonts w:eastAsia="Times New Roman" w:cs="Times New Roman"/>
          <w:sz w:val="20"/>
          <w:szCs w:val="22"/>
        </w:rPr>
      </w:pPr>
      <w:r w:rsidRPr="00397FA7">
        <w:rPr>
          <w:rFonts w:eastAsia="Times New Roman" w:cs="Times New Roman"/>
          <w:sz w:val="20"/>
          <w:szCs w:val="22"/>
        </w:rPr>
        <w:t xml:space="preserve">To implement security measures to restrict access to facilities and </w:t>
      </w:r>
      <w:r w:rsidR="001F71E8">
        <w:rPr>
          <w:rFonts w:eastAsia="Times New Roman" w:cs="Times New Roman"/>
          <w:sz w:val="20"/>
          <w:szCs w:val="22"/>
        </w:rPr>
        <w:t xml:space="preserve">Sun Health </w:t>
      </w:r>
      <w:r w:rsidRPr="00397FA7">
        <w:rPr>
          <w:rFonts w:eastAsia="Times New Roman" w:cs="Times New Roman"/>
          <w:sz w:val="20"/>
          <w:szCs w:val="22"/>
        </w:rPr>
        <w:t xml:space="preserve">Information Systems from unauthorized physical access, tampering, theft, and physical damage, while ensuring that access by authorized workforce members is allowed.  </w:t>
      </w:r>
    </w:p>
    <w:p w14:paraId="68377F58" w14:textId="77777777" w:rsidR="00397FA7" w:rsidRDefault="00397FA7"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0732FD8B" w14:textId="2A3D660B" w:rsidR="00810987" w:rsidRDefault="00397FA7" w:rsidP="00881786">
      <w:pPr>
        <w:rPr>
          <w:sz w:val="20"/>
          <w:szCs w:val="20"/>
        </w:rPr>
      </w:pPr>
      <w:r w:rsidRPr="00397FA7">
        <w:rPr>
          <w:sz w:val="20"/>
          <w:szCs w:val="20"/>
        </w:rPr>
        <w:t>This policy applies to all facilities</w:t>
      </w:r>
      <w:r w:rsidR="001F71E8">
        <w:rPr>
          <w:sz w:val="20"/>
          <w:szCs w:val="20"/>
        </w:rPr>
        <w:t>, locations</w:t>
      </w:r>
      <w:r w:rsidRPr="00397FA7">
        <w:rPr>
          <w:sz w:val="20"/>
          <w:szCs w:val="20"/>
        </w:rPr>
        <w:t xml:space="preserve"> and</w:t>
      </w:r>
      <w:r w:rsidR="001F71E8">
        <w:rPr>
          <w:sz w:val="20"/>
          <w:szCs w:val="20"/>
        </w:rPr>
        <w:t xml:space="preserve"> Sun Health</w:t>
      </w:r>
      <w:r w:rsidRPr="00397FA7">
        <w:rPr>
          <w:sz w:val="20"/>
          <w:szCs w:val="20"/>
        </w:rPr>
        <w:t xml:space="preserve"> Information Systems.</w:t>
      </w:r>
    </w:p>
    <w:p w14:paraId="46F14806" w14:textId="77777777" w:rsidR="00397FA7" w:rsidRDefault="00397FA7"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6894D9EA" w14:textId="184D66D7" w:rsidR="00810987" w:rsidRDefault="00397FA7" w:rsidP="00881786">
      <w:pPr>
        <w:rPr>
          <w:sz w:val="20"/>
          <w:szCs w:val="20"/>
        </w:rPr>
      </w:pPr>
      <w:r w:rsidRPr="00341273">
        <w:rPr>
          <w:sz w:val="20"/>
          <w:szCs w:val="20"/>
        </w:rPr>
        <w:t>Appropriate measures shall be taken to protect facilities and Information Systems from unauthorized physical access, tampering, theft, and physical damage, while ensuring that access by authorized workforce members is allowed.</w:t>
      </w:r>
      <w:r w:rsidRPr="00397FA7">
        <w:rPr>
          <w:sz w:val="20"/>
          <w:szCs w:val="20"/>
        </w:rPr>
        <w:t xml:space="preserve">  </w:t>
      </w:r>
    </w:p>
    <w:p w14:paraId="6C6EF8FB" w14:textId="77777777" w:rsidR="00397FA7" w:rsidRDefault="00397FA7" w:rsidP="00881786">
      <w:pPr>
        <w:rPr>
          <w:sz w:val="20"/>
          <w:szCs w:val="20"/>
        </w:rPr>
      </w:pPr>
    </w:p>
    <w:p w14:paraId="6527D01C" w14:textId="77777777" w:rsidR="00810987" w:rsidRDefault="00881786" w:rsidP="00FB67F2">
      <w:pPr>
        <w:rPr>
          <w:b/>
          <w:sz w:val="26"/>
          <w:szCs w:val="26"/>
        </w:rPr>
      </w:pPr>
      <w:r w:rsidRPr="00881786">
        <w:rPr>
          <w:b/>
          <w:sz w:val="26"/>
          <w:szCs w:val="26"/>
        </w:rPr>
        <w:t>Procedures</w:t>
      </w:r>
    </w:p>
    <w:p w14:paraId="67035555" w14:textId="77777777" w:rsidR="00FB67F2" w:rsidRPr="00FB67F2" w:rsidRDefault="00FB67F2" w:rsidP="00FB67F2">
      <w:pPr>
        <w:rPr>
          <w:b/>
          <w:sz w:val="26"/>
          <w:szCs w:val="26"/>
        </w:rPr>
      </w:pPr>
      <w:r w:rsidRPr="00FB67F2">
        <w:rPr>
          <w:b/>
          <w:sz w:val="26"/>
          <w:szCs w:val="26"/>
        </w:rPr>
        <w:t>General</w:t>
      </w:r>
    </w:p>
    <w:p w14:paraId="05ED96AB" w14:textId="77777777" w:rsidR="00FB67F2" w:rsidRPr="00C3338E" w:rsidRDefault="00FB67F2" w:rsidP="00012C8A">
      <w:pPr>
        <w:numPr>
          <w:ilvl w:val="0"/>
          <w:numId w:val="4"/>
        </w:numPr>
        <w:ind w:left="720"/>
        <w:contextualSpacing/>
        <w:rPr>
          <w:rFonts w:eastAsia="Times New Roman" w:cs="Times New Roman"/>
          <w:sz w:val="20"/>
          <w:szCs w:val="22"/>
        </w:rPr>
      </w:pPr>
      <w:bookmarkStart w:id="0" w:name="_Toc347225723"/>
      <w:r w:rsidRPr="00C3338E">
        <w:rPr>
          <w:rFonts w:eastAsia="Times New Roman" w:cs="Times New Roman"/>
          <w:sz w:val="20"/>
          <w:szCs w:val="22"/>
        </w:rPr>
        <w:t>Security measures may be employed including security personnel, electronic controls, and video monitoring to deter unauthorized entry.</w:t>
      </w:r>
    </w:p>
    <w:p w14:paraId="208B3930" w14:textId="72670F4B"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t>Distribution of keys or electronic access codes, prox cards, etc., shall be provided to authorize</w:t>
      </w:r>
      <w:r w:rsidR="00236388">
        <w:rPr>
          <w:rFonts w:eastAsia="Times New Roman" w:cs="Times New Roman"/>
          <w:sz w:val="20"/>
          <w:szCs w:val="22"/>
        </w:rPr>
        <w:t>d</w:t>
      </w:r>
      <w:r w:rsidRPr="00C3338E">
        <w:rPr>
          <w:rFonts w:eastAsia="Times New Roman" w:cs="Times New Roman"/>
          <w:sz w:val="20"/>
          <w:szCs w:val="22"/>
        </w:rPr>
        <w:t xml:space="preserve"> personnel only.</w:t>
      </w:r>
    </w:p>
    <w:p w14:paraId="181DB5F0" w14:textId="77777777"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t>Procedures shall be developed and maintained to record the distribution and revocation of keys and access rights.</w:t>
      </w:r>
    </w:p>
    <w:p w14:paraId="46D98750" w14:textId="284D1C0C"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lastRenderedPageBreak/>
        <w:t>Any incident involving the misplacement or theft of a master facility key must be r</w:t>
      </w:r>
      <w:r w:rsidR="005D6B79">
        <w:rPr>
          <w:rFonts w:eastAsia="Times New Roman" w:cs="Times New Roman"/>
          <w:sz w:val="20"/>
          <w:szCs w:val="22"/>
        </w:rPr>
        <w:t>eported to the Security Officer</w:t>
      </w:r>
      <w:r w:rsidRPr="00C3338E">
        <w:rPr>
          <w:rFonts w:eastAsia="Times New Roman" w:cs="Times New Roman"/>
          <w:sz w:val="20"/>
          <w:szCs w:val="22"/>
        </w:rPr>
        <w:t>.</w:t>
      </w:r>
    </w:p>
    <w:p w14:paraId="2228DAB6" w14:textId="77777777"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t>Physical locks and/or electronic access codes shall be changed as appropriate based on risks to unauthorized physical access.</w:t>
      </w:r>
    </w:p>
    <w:p w14:paraId="145B3902" w14:textId="77777777"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t>Workforce members must be vigilant of non-authorized personnel present in their work areas and report any incidents as warranted.</w:t>
      </w:r>
    </w:p>
    <w:p w14:paraId="0AA6C0BF" w14:textId="77777777" w:rsidR="00FB67F2" w:rsidRPr="00C3338E" w:rsidRDefault="00FB67F2" w:rsidP="00012C8A">
      <w:pPr>
        <w:numPr>
          <w:ilvl w:val="0"/>
          <w:numId w:val="4"/>
        </w:numPr>
        <w:ind w:left="720"/>
        <w:contextualSpacing/>
        <w:rPr>
          <w:rFonts w:eastAsia="Times New Roman" w:cs="Times New Roman"/>
          <w:sz w:val="20"/>
          <w:szCs w:val="22"/>
        </w:rPr>
      </w:pPr>
      <w:r w:rsidRPr="00C3338E">
        <w:rPr>
          <w:rFonts w:eastAsia="Times New Roman" w:cs="Times New Roman"/>
          <w:sz w:val="20"/>
          <w:szCs w:val="22"/>
        </w:rPr>
        <w:t>Repairs and modifications related to the physical security of facilities that house PHI must be conducted by authorized personnel and documented as appropriate.</w:t>
      </w:r>
    </w:p>
    <w:p w14:paraId="5648CA33" w14:textId="77777777" w:rsidR="00FB67F2" w:rsidRDefault="00FB67F2" w:rsidP="00FB67F2">
      <w:pPr>
        <w:rPr>
          <w:b/>
          <w:sz w:val="26"/>
          <w:szCs w:val="26"/>
        </w:rPr>
      </w:pPr>
      <w:bookmarkStart w:id="1" w:name="_Toc433639868"/>
    </w:p>
    <w:p w14:paraId="3A3D09A6" w14:textId="5371F820" w:rsidR="00FB67F2" w:rsidRPr="00FB67F2" w:rsidRDefault="00FB67F2" w:rsidP="00FB67F2">
      <w:pPr>
        <w:rPr>
          <w:b/>
          <w:sz w:val="26"/>
          <w:szCs w:val="26"/>
        </w:rPr>
      </w:pPr>
      <w:r w:rsidRPr="00FB67F2">
        <w:rPr>
          <w:b/>
          <w:sz w:val="26"/>
          <w:szCs w:val="26"/>
        </w:rPr>
        <w:t>Information System Components</w:t>
      </w:r>
      <w:bookmarkEnd w:id="1"/>
    </w:p>
    <w:p w14:paraId="52A7E9DD" w14:textId="77777777" w:rsidR="00FB67F2" w:rsidRPr="00C3338E" w:rsidRDefault="00FB67F2" w:rsidP="00012C8A">
      <w:pPr>
        <w:numPr>
          <w:ilvl w:val="0"/>
          <w:numId w:val="6"/>
        </w:numPr>
        <w:ind w:left="720"/>
        <w:contextualSpacing/>
        <w:rPr>
          <w:rFonts w:eastAsia="Times New Roman" w:cs="Times New Roman"/>
          <w:sz w:val="20"/>
          <w:szCs w:val="22"/>
        </w:rPr>
      </w:pPr>
      <w:r w:rsidRPr="00C3338E">
        <w:rPr>
          <w:rFonts w:eastAsia="Times New Roman" w:cs="Times New Roman"/>
          <w:sz w:val="20"/>
          <w:szCs w:val="22"/>
        </w:rPr>
        <w:t xml:space="preserve">Information Systems shall be placed in locations to minimize the risk of physical damage. </w:t>
      </w:r>
    </w:p>
    <w:p w14:paraId="0EC3A4D8" w14:textId="77777777" w:rsidR="00FB67F2" w:rsidRPr="00C3338E" w:rsidRDefault="00FB67F2" w:rsidP="00012C8A">
      <w:pPr>
        <w:numPr>
          <w:ilvl w:val="0"/>
          <w:numId w:val="6"/>
        </w:numPr>
        <w:ind w:left="720"/>
        <w:contextualSpacing/>
        <w:rPr>
          <w:rFonts w:eastAsia="Times New Roman" w:cs="Times New Roman"/>
          <w:sz w:val="20"/>
          <w:szCs w:val="22"/>
        </w:rPr>
      </w:pPr>
      <w:r w:rsidRPr="00C3338E">
        <w:rPr>
          <w:rFonts w:eastAsia="Times New Roman" w:cs="Times New Roman"/>
          <w:sz w:val="20"/>
          <w:szCs w:val="22"/>
        </w:rPr>
        <w:t xml:space="preserve">Access to data centers that store or process ePHI will be locked and restricted to authorized persons only.  </w:t>
      </w:r>
    </w:p>
    <w:p w14:paraId="0297B8FB" w14:textId="77777777" w:rsidR="00FB67F2" w:rsidRPr="00C3338E" w:rsidRDefault="00FB67F2" w:rsidP="00012C8A">
      <w:pPr>
        <w:numPr>
          <w:ilvl w:val="0"/>
          <w:numId w:val="6"/>
        </w:numPr>
        <w:ind w:left="720"/>
        <w:contextualSpacing/>
        <w:rPr>
          <w:rFonts w:eastAsia="Times New Roman" w:cs="Times New Roman"/>
          <w:sz w:val="20"/>
          <w:szCs w:val="22"/>
        </w:rPr>
      </w:pPr>
      <w:r w:rsidRPr="00C3338E">
        <w:rPr>
          <w:rFonts w:eastAsia="Times New Roman" w:cs="Times New Roman"/>
          <w:sz w:val="20"/>
          <w:szCs w:val="22"/>
        </w:rPr>
        <w:t xml:space="preserve">Primary and backup data centers shall be physically located to minimize the possibility of damage </w:t>
      </w:r>
      <w:r>
        <w:rPr>
          <w:rFonts w:eastAsia="Times New Roman" w:cs="Times New Roman"/>
          <w:sz w:val="20"/>
          <w:szCs w:val="22"/>
        </w:rPr>
        <w:t xml:space="preserve">to </w:t>
      </w:r>
      <w:r w:rsidRPr="00C3338E">
        <w:rPr>
          <w:rFonts w:eastAsia="Times New Roman" w:cs="Times New Roman"/>
          <w:sz w:val="20"/>
          <w:szCs w:val="22"/>
        </w:rPr>
        <w:t>both facilities during a disaster and to maximize their availability for recovery efforts.</w:t>
      </w:r>
    </w:p>
    <w:p w14:paraId="11A025BE" w14:textId="36D50560" w:rsidR="00FB67F2" w:rsidRPr="00C3338E" w:rsidRDefault="00FB67F2" w:rsidP="00012C8A">
      <w:pPr>
        <w:numPr>
          <w:ilvl w:val="0"/>
          <w:numId w:val="6"/>
        </w:numPr>
        <w:ind w:left="720"/>
        <w:contextualSpacing/>
        <w:rPr>
          <w:rFonts w:eastAsia="Times New Roman" w:cs="Times New Roman"/>
          <w:sz w:val="20"/>
          <w:szCs w:val="22"/>
        </w:rPr>
      </w:pPr>
      <w:r w:rsidRPr="00C3338E">
        <w:rPr>
          <w:rFonts w:eastAsia="Times New Roman" w:cs="Times New Roman"/>
          <w:sz w:val="20"/>
          <w:szCs w:val="22"/>
        </w:rPr>
        <w:t xml:space="preserve">Doors to </w:t>
      </w:r>
      <w:r w:rsidR="001F71E8">
        <w:rPr>
          <w:rFonts w:eastAsia="Times New Roman" w:cs="Times New Roman"/>
          <w:sz w:val="20"/>
          <w:szCs w:val="22"/>
        </w:rPr>
        <w:t xml:space="preserve">Sun Health </w:t>
      </w:r>
      <w:r w:rsidRPr="00C3338E">
        <w:rPr>
          <w:rFonts w:eastAsia="Times New Roman" w:cs="Times New Roman"/>
          <w:sz w:val="20"/>
          <w:szCs w:val="22"/>
        </w:rPr>
        <w:t>network wiring/communications closets will be locked and restricted to authorized persons only.</w:t>
      </w:r>
    </w:p>
    <w:p w14:paraId="47D4921D" w14:textId="77777777" w:rsidR="00FB67F2" w:rsidRPr="00C3338E" w:rsidRDefault="00FB67F2" w:rsidP="00012C8A">
      <w:pPr>
        <w:numPr>
          <w:ilvl w:val="0"/>
          <w:numId w:val="6"/>
        </w:numPr>
        <w:ind w:left="720"/>
        <w:contextualSpacing/>
        <w:rPr>
          <w:rFonts w:eastAsia="Times New Roman" w:cs="Times New Roman"/>
          <w:sz w:val="20"/>
          <w:szCs w:val="22"/>
        </w:rPr>
      </w:pPr>
      <w:r w:rsidRPr="00C3338E">
        <w:rPr>
          <w:rFonts w:eastAsia="Times New Roman" w:cs="Times New Roman"/>
          <w:sz w:val="20"/>
          <w:szCs w:val="22"/>
        </w:rPr>
        <w:t>Information Systems, including workstations and laptops, located in non-secure work spaces shall employ additional physical safeguards as appropriate.</w:t>
      </w:r>
    </w:p>
    <w:p w14:paraId="40F633D5" w14:textId="77777777" w:rsidR="00FB67F2" w:rsidRPr="00147800" w:rsidRDefault="00FB67F2" w:rsidP="00012C8A">
      <w:pPr>
        <w:numPr>
          <w:ilvl w:val="0"/>
          <w:numId w:val="6"/>
        </w:numPr>
        <w:ind w:left="720"/>
        <w:contextualSpacing/>
      </w:pPr>
      <w:r w:rsidRPr="00147800">
        <w:rPr>
          <w:rFonts w:eastAsia="Times New Roman" w:cs="Times New Roman"/>
          <w:sz w:val="20"/>
          <w:szCs w:val="22"/>
        </w:rPr>
        <w:t>Logs shall be maintained to track access by visitors or vendors that perform work to, or in, facilities that store or process ePHI.</w:t>
      </w:r>
    </w:p>
    <w:p w14:paraId="402F4F4A" w14:textId="77777777" w:rsidR="00FB67F2" w:rsidRPr="00C3338E" w:rsidRDefault="00FB67F2" w:rsidP="00FB67F2">
      <w:pPr>
        <w:ind w:left="720"/>
        <w:contextualSpacing/>
      </w:pPr>
    </w:p>
    <w:p w14:paraId="7201ACB6" w14:textId="77777777" w:rsidR="00FB67F2" w:rsidRPr="00FB67F2" w:rsidRDefault="00FB67F2" w:rsidP="00FB67F2">
      <w:pPr>
        <w:rPr>
          <w:b/>
          <w:sz w:val="26"/>
          <w:szCs w:val="26"/>
        </w:rPr>
      </w:pPr>
      <w:bookmarkStart w:id="2" w:name="_Toc433639869"/>
      <w:bookmarkEnd w:id="0"/>
      <w:r w:rsidRPr="00FB67F2">
        <w:rPr>
          <w:b/>
          <w:sz w:val="26"/>
          <w:szCs w:val="26"/>
        </w:rPr>
        <w:t>Physical Access for Workforce Members</w:t>
      </w:r>
      <w:bookmarkEnd w:id="2"/>
    </w:p>
    <w:p w14:paraId="454BB25C" w14:textId="77777777" w:rsidR="00FB67F2" w:rsidRPr="00C3338E" w:rsidRDefault="00FB67F2" w:rsidP="00012C8A">
      <w:pPr>
        <w:numPr>
          <w:ilvl w:val="0"/>
          <w:numId w:val="5"/>
        </w:numPr>
        <w:ind w:left="720"/>
        <w:contextualSpacing/>
        <w:rPr>
          <w:rFonts w:eastAsia="Times New Roman" w:cs="Times New Roman"/>
          <w:sz w:val="20"/>
          <w:szCs w:val="22"/>
        </w:rPr>
      </w:pPr>
      <w:bookmarkStart w:id="3" w:name="_Toc347225724"/>
      <w:r w:rsidRPr="00C3338E">
        <w:rPr>
          <w:rFonts w:eastAsia="Times New Roman" w:cs="Times New Roman"/>
          <w:sz w:val="20"/>
          <w:szCs w:val="22"/>
        </w:rPr>
        <w:t>Access rights to sensitive areas shall be provided only as needed to accomplish job duties.  Roles that require access rights to sensitive areas shall be defined and documented.</w:t>
      </w:r>
    </w:p>
    <w:p w14:paraId="04065129"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Access rights for facilities that house ePHI systems shall be periodically reviewed and revised as necessary.</w:t>
      </w:r>
    </w:p>
    <w:p w14:paraId="01644E4A"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Physical access to facilities that house ePHI systems shall be tracked, recorded, and maintained in a secure manner.</w:t>
      </w:r>
    </w:p>
    <w:p w14:paraId="001C2FCC"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Workforce members shall not attempt to gain physical access to facilities for which they do not have proper authorization.</w:t>
      </w:r>
    </w:p>
    <w:p w14:paraId="54626074"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Workforce members shall immediately report the loss or theft of any keys that grant them physical access to facilities.</w:t>
      </w:r>
    </w:p>
    <w:p w14:paraId="5D1B2215"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Workforce members shall carry an identification badge when at facilities that house ePHI systems.</w:t>
      </w:r>
    </w:p>
    <w:p w14:paraId="74F76F32" w14:textId="77777777" w:rsidR="00FB67F2" w:rsidRPr="00C3338E" w:rsidRDefault="00FB67F2" w:rsidP="00012C8A">
      <w:pPr>
        <w:numPr>
          <w:ilvl w:val="0"/>
          <w:numId w:val="5"/>
        </w:numPr>
        <w:ind w:left="720"/>
        <w:contextualSpacing/>
        <w:rPr>
          <w:rFonts w:eastAsia="Times New Roman" w:cs="Times New Roman"/>
          <w:sz w:val="20"/>
          <w:szCs w:val="22"/>
        </w:rPr>
      </w:pPr>
      <w:r w:rsidRPr="00C3338E">
        <w:rPr>
          <w:rFonts w:eastAsia="Times New Roman" w:cs="Times New Roman"/>
          <w:sz w:val="20"/>
          <w:szCs w:val="22"/>
        </w:rPr>
        <w:t>Workforce members who observe a person attempting to bypass any security measure shall report that person to security personnel or the Security Officer.</w:t>
      </w:r>
    </w:p>
    <w:p w14:paraId="5507F2BE" w14:textId="77777777" w:rsidR="00FB67F2" w:rsidRDefault="00FB67F2" w:rsidP="00FB67F2">
      <w:pPr>
        <w:rPr>
          <w:b/>
          <w:sz w:val="26"/>
          <w:szCs w:val="26"/>
        </w:rPr>
      </w:pPr>
      <w:bookmarkStart w:id="4" w:name="_Toc433639870"/>
      <w:bookmarkEnd w:id="3"/>
    </w:p>
    <w:p w14:paraId="5371BCC3" w14:textId="67C03D99" w:rsidR="00FB67F2" w:rsidRPr="00FB67F2" w:rsidRDefault="00FB67F2" w:rsidP="00FB67F2">
      <w:pPr>
        <w:rPr>
          <w:b/>
          <w:sz w:val="26"/>
          <w:szCs w:val="26"/>
        </w:rPr>
      </w:pPr>
      <w:r w:rsidRPr="00FB67F2">
        <w:rPr>
          <w:b/>
          <w:sz w:val="26"/>
          <w:szCs w:val="26"/>
        </w:rPr>
        <w:t>Contingency Operations</w:t>
      </w:r>
      <w:bookmarkEnd w:id="4"/>
    </w:p>
    <w:p w14:paraId="4D635862" w14:textId="46034F7D" w:rsidR="00FB67F2" w:rsidRPr="00C3338E" w:rsidRDefault="00FB67F2" w:rsidP="00012C8A">
      <w:pPr>
        <w:numPr>
          <w:ilvl w:val="0"/>
          <w:numId w:val="7"/>
        </w:numPr>
        <w:ind w:left="720"/>
        <w:contextualSpacing/>
        <w:rPr>
          <w:rFonts w:eastAsia="Times New Roman" w:cs="Times New Roman"/>
          <w:sz w:val="20"/>
          <w:szCs w:val="22"/>
        </w:rPr>
      </w:pPr>
      <w:r w:rsidRPr="00C3338E">
        <w:rPr>
          <w:rFonts w:eastAsia="Times New Roman" w:cs="Times New Roman"/>
          <w:sz w:val="20"/>
          <w:szCs w:val="22"/>
        </w:rPr>
        <w:t>In the event of a disaster or other emergency, physical access to</w:t>
      </w:r>
      <w:r w:rsidR="001F71E8">
        <w:rPr>
          <w:rFonts w:eastAsia="Times New Roman" w:cs="Times New Roman"/>
          <w:sz w:val="20"/>
          <w:szCs w:val="22"/>
        </w:rPr>
        <w:t xml:space="preserve"> Sun Health</w:t>
      </w:r>
      <w:r w:rsidRPr="00C3338E">
        <w:rPr>
          <w:rFonts w:eastAsia="Times New Roman" w:cs="Times New Roman"/>
          <w:sz w:val="20"/>
          <w:szCs w:val="22"/>
        </w:rPr>
        <w:t xml:space="preserve"> facilities that house ePHI systems shall be controlled and access granted only to workforce members authorized in contingency and emergency plans.</w:t>
      </w:r>
    </w:p>
    <w:p w14:paraId="774295BE" w14:textId="77777777" w:rsidR="00FB67F2" w:rsidRPr="00C3338E" w:rsidRDefault="00FB67F2" w:rsidP="00FB67F2">
      <w:pPr>
        <w:ind w:left="720"/>
      </w:pPr>
    </w:p>
    <w:p w14:paraId="01CFF1AA" w14:textId="77777777" w:rsidR="00341273" w:rsidRDefault="00341273">
      <w:pPr>
        <w:rPr>
          <w:b/>
          <w:sz w:val="26"/>
          <w:szCs w:val="26"/>
        </w:rPr>
      </w:pPr>
      <w:bookmarkStart w:id="5" w:name="_Toc433639871"/>
      <w:r>
        <w:rPr>
          <w:b/>
          <w:sz w:val="26"/>
          <w:szCs w:val="26"/>
        </w:rPr>
        <w:br w:type="page"/>
      </w:r>
    </w:p>
    <w:p w14:paraId="50779AAD" w14:textId="402C629D" w:rsidR="00FB67F2" w:rsidRPr="00FB67F2" w:rsidRDefault="00FB67F2" w:rsidP="00FB67F2">
      <w:pPr>
        <w:rPr>
          <w:b/>
          <w:sz w:val="26"/>
          <w:szCs w:val="26"/>
        </w:rPr>
      </w:pPr>
      <w:r w:rsidRPr="00FB67F2">
        <w:rPr>
          <w:b/>
          <w:sz w:val="26"/>
          <w:szCs w:val="26"/>
        </w:rPr>
        <w:lastRenderedPageBreak/>
        <w:t>Review and Revision</w:t>
      </w:r>
      <w:bookmarkEnd w:id="5"/>
    </w:p>
    <w:p w14:paraId="1775B40B" w14:textId="77777777" w:rsidR="00FB67F2" w:rsidRPr="00C3338E" w:rsidRDefault="00FB67F2" w:rsidP="00012C8A">
      <w:pPr>
        <w:numPr>
          <w:ilvl w:val="0"/>
          <w:numId w:val="3"/>
        </w:numPr>
        <w:ind w:left="720"/>
        <w:contextualSpacing/>
        <w:rPr>
          <w:rFonts w:eastAsia="Times New Roman" w:cs="Times New Roman"/>
          <w:sz w:val="20"/>
          <w:szCs w:val="22"/>
        </w:rPr>
      </w:pPr>
      <w:r w:rsidRPr="00C3338E">
        <w:rPr>
          <w:rFonts w:eastAsia="Times New Roman" w:cs="Times New Roman"/>
          <w:sz w:val="20"/>
          <w:szCs w:val="22"/>
        </w:rPr>
        <w:t>Physical Security controls and procedures shall be periodically reviewed for appropriateness and effectiveness.</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6C27A4C8" w14:textId="77777777" w:rsidR="0054148C" w:rsidRPr="0054148C" w:rsidRDefault="0054148C" w:rsidP="0054148C">
      <w:pPr>
        <w:pStyle w:val="NoSpacing"/>
        <w:rPr>
          <w:rFonts w:ascii="Verdana" w:eastAsia="Times New Roman" w:hAnsi="Verdana" w:cs="Times New Roman"/>
          <w:sz w:val="20"/>
          <w:szCs w:val="22"/>
        </w:rPr>
      </w:pPr>
      <w:r w:rsidRPr="0054148C">
        <w:rPr>
          <w:rFonts w:ascii="Verdana" w:eastAsia="Times New Roman" w:hAnsi="Verdana" w:cs="Times New Roman"/>
          <w:sz w:val="20"/>
          <w:szCs w:val="22"/>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47E98597" w14:textId="77777777" w:rsidR="0054148C" w:rsidRPr="0054148C" w:rsidRDefault="0054148C" w:rsidP="0054148C">
      <w:pPr>
        <w:pStyle w:val="NoSpacing"/>
        <w:ind w:left="360"/>
        <w:rPr>
          <w:rFonts w:ascii="Verdana" w:eastAsia="Times New Roman" w:hAnsi="Verdana" w:cs="Times New Roman"/>
          <w:sz w:val="20"/>
          <w:szCs w:val="22"/>
        </w:rPr>
      </w:pPr>
    </w:p>
    <w:p w14:paraId="64B6D249" w14:textId="77777777" w:rsidR="0054148C" w:rsidRPr="0054148C" w:rsidRDefault="0054148C" w:rsidP="0054148C">
      <w:pPr>
        <w:pStyle w:val="NoSpacing"/>
        <w:rPr>
          <w:rFonts w:ascii="Verdana" w:eastAsia="Times New Roman" w:hAnsi="Verdana" w:cs="Times New Roman"/>
          <w:sz w:val="20"/>
          <w:szCs w:val="22"/>
        </w:rPr>
      </w:pPr>
      <w:r w:rsidRPr="0054148C">
        <w:rPr>
          <w:rFonts w:ascii="Verdana" w:eastAsia="Times New Roman" w:hAnsi="Verdana" w:cs="Times New Roman"/>
          <w:sz w:val="20"/>
          <w:szCs w:val="22"/>
        </w:rPr>
        <w:t>Request for exceptions to this policy must be submitted in writing.  Prior to official approval of any exception, this policy must continue to be observed.</w:t>
      </w:r>
    </w:p>
    <w:p w14:paraId="54AE31F4" w14:textId="77777777" w:rsidR="0054148C" w:rsidRPr="0054148C" w:rsidRDefault="0054148C" w:rsidP="0054148C">
      <w:pPr>
        <w:pStyle w:val="NoSpacing"/>
        <w:ind w:left="360"/>
        <w:rPr>
          <w:rFonts w:ascii="Verdana" w:eastAsia="Times New Roman" w:hAnsi="Verdana" w:cs="Times New Roman"/>
          <w:sz w:val="20"/>
          <w:szCs w:val="22"/>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1E1E5D78" w14:textId="77777777" w:rsidR="00FB67F2" w:rsidRPr="00C3338E" w:rsidRDefault="00FB67F2" w:rsidP="00FB67F2">
      <w:pPr>
        <w:rPr>
          <w:rFonts w:eastAsia="Times New Roman" w:cs="Times New Roman"/>
          <w:sz w:val="20"/>
          <w:szCs w:val="20"/>
        </w:rPr>
      </w:pPr>
      <w:r w:rsidRPr="00C3338E">
        <w:rPr>
          <w:rFonts w:eastAsia="Times New Roman" w:cs="Times New Roman"/>
          <w:b/>
          <w:sz w:val="20"/>
          <w:szCs w:val="20"/>
          <w:u w:val="single"/>
        </w:rPr>
        <w:t xml:space="preserve">ePHI- </w:t>
      </w:r>
      <w:r w:rsidRPr="00C3338E">
        <w:rPr>
          <w:rFonts w:eastAsia="Times New Roman" w:cs="Times New Roman"/>
          <w:sz w:val="20"/>
          <w:szCs w:val="20"/>
        </w:rPr>
        <w:t>Protected Health Information that is stored in electronic format.</w:t>
      </w:r>
    </w:p>
    <w:p w14:paraId="27CF755E" w14:textId="77777777" w:rsidR="00FB67F2" w:rsidRDefault="00FB67F2" w:rsidP="00FB67F2">
      <w:pPr>
        <w:rPr>
          <w:rFonts w:eastAsia="Times New Roman" w:cs="Times New Roman"/>
          <w:b/>
          <w:sz w:val="20"/>
          <w:szCs w:val="20"/>
          <w:u w:val="single"/>
        </w:rPr>
      </w:pPr>
    </w:p>
    <w:p w14:paraId="0DF496DE" w14:textId="1C87FBB1" w:rsidR="00FB67F2" w:rsidRPr="00C3338E" w:rsidRDefault="00FB67F2" w:rsidP="00FB67F2">
      <w:pPr>
        <w:rPr>
          <w:rFonts w:eastAsia="Times New Roman" w:cs="Times New Roman"/>
          <w:sz w:val="20"/>
          <w:szCs w:val="20"/>
        </w:rPr>
      </w:pPr>
      <w:r w:rsidRPr="00C3338E">
        <w:rPr>
          <w:rFonts w:eastAsia="Times New Roman" w:cs="Times New Roman"/>
          <w:b/>
          <w:sz w:val="20"/>
          <w:szCs w:val="20"/>
          <w:u w:val="single"/>
        </w:rPr>
        <w:t>Information System</w:t>
      </w:r>
      <w:r w:rsidRPr="00C3338E">
        <w:rPr>
          <w:rFonts w:eastAsia="Times New Roman" w:cs="Times New Roman"/>
          <w:b/>
          <w:sz w:val="20"/>
          <w:szCs w:val="20"/>
        </w:rPr>
        <w:t xml:space="preserve"> </w:t>
      </w:r>
      <w:r w:rsidRPr="00C3338E">
        <w:rPr>
          <w:rFonts w:eastAsia="Times New Roman" w:cs="Times New Roman"/>
          <w:sz w:val="20"/>
          <w:szCs w:val="20"/>
        </w:rPr>
        <w:t>-</w:t>
      </w:r>
      <w:r w:rsidRPr="00C3338E">
        <w:rPr>
          <w:rFonts w:eastAsia="Times New Roman" w:cs="Times New Roman"/>
          <w:b/>
          <w:sz w:val="20"/>
          <w:szCs w:val="20"/>
        </w:rPr>
        <w:t xml:space="preserve"> </w:t>
      </w:r>
      <w:r w:rsidRPr="00C3338E">
        <w:rPr>
          <w:rFonts w:eastAsia="Times New Roman" w:cs="Times New Roman"/>
          <w:sz w:val="20"/>
          <w:szCs w:val="20"/>
        </w:rPr>
        <w:t>Means</w:t>
      </w:r>
      <w:r w:rsidRPr="00C3338E">
        <w:rPr>
          <w:rFonts w:eastAsia="Times New Roman" w:cs="Times New Roman"/>
          <w:b/>
          <w:sz w:val="20"/>
          <w:szCs w:val="20"/>
        </w:rPr>
        <w:t xml:space="preserve"> </w:t>
      </w:r>
      <w:r w:rsidRPr="00C3338E">
        <w:rPr>
          <w:rFonts w:eastAsia="Times New Roman" w:cs="Times New Roman"/>
          <w:sz w:val="20"/>
          <w:szCs w:val="20"/>
        </w:rPr>
        <w:t xml:space="preserve">any combination of </w:t>
      </w:r>
      <w:hyperlink r:id="rId12" w:tooltip="Information technology" w:history="1">
        <w:r w:rsidRPr="00C3338E">
          <w:rPr>
            <w:rFonts w:eastAsia="Times New Roman" w:cs="Times New Roman"/>
            <w:sz w:val="20"/>
            <w:szCs w:val="20"/>
          </w:rPr>
          <w:t>information technology</w:t>
        </w:r>
      </w:hyperlink>
      <w:r w:rsidRPr="00C3338E">
        <w:rPr>
          <w:rFonts w:eastAsia="Times New Roman" w:cs="Times New Roman"/>
          <w:sz w:val="20"/>
          <w:szCs w:val="20"/>
        </w:rPr>
        <w:t xml:space="preserve"> and people's activities that support operational, management and decision making processes.  A system normally includes hardware, software, information, data, applications, communications, and people.</w:t>
      </w:r>
    </w:p>
    <w:p w14:paraId="167773FF" w14:textId="77777777" w:rsidR="00FB67F2" w:rsidRDefault="00FB67F2" w:rsidP="00FB67F2">
      <w:pPr>
        <w:rPr>
          <w:rFonts w:eastAsia="Times New Roman" w:cs="Times New Roman"/>
          <w:b/>
          <w:sz w:val="20"/>
          <w:szCs w:val="22"/>
          <w:u w:val="single"/>
        </w:rPr>
      </w:pPr>
    </w:p>
    <w:p w14:paraId="7B4C870E" w14:textId="0B98DA44" w:rsidR="00FB67F2" w:rsidRPr="00C3338E" w:rsidRDefault="00FB67F2" w:rsidP="00FB67F2">
      <w:pPr>
        <w:rPr>
          <w:rFonts w:eastAsia="Times New Roman" w:cs="Times New Roman"/>
          <w:sz w:val="20"/>
          <w:szCs w:val="22"/>
        </w:rPr>
      </w:pPr>
      <w:r w:rsidRPr="00C3338E">
        <w:rPr>
          <w:rFonts w:eastAsia="Times New Roman" w:cs="Times New Roman"/>
          <w:b/>
          <w:sz w:val="20"/>
          <w:szCs w:val="22"/>
          <w:u w:val="single"/>
        </w:rPr>
        <w:t xml:space="preserve">PHI </w:t>
      </w:r>
      <w:r w:rsidRPr="00C3338E">
        <w:rPr>
          <w:rFonts w:eastAsia="Times New Roman" w:cs="Times New Roman"/>
          <w:sz w:val="20"/>
          <w:szCs w:val="22"/>
        </w:rPr>
        <w:t>– Protected Health Information. Means all individually identifiable health information held or transmitted by</w:t>
      </w:r>
      <w:r w:rsidR="001F71E8">
        <w:rPr>
          <w:rFonts w:eastAsia="Times New Roman" w:cs="Times New Roman"/>
          <w:sz w:val="20"/>
          <w:szCs w:val="22"/>
        </w:rPr>
        <w:t xml:space="preserve"> Sun Health,</w:t>
      </w:r>
      <w:r w:rsidRPr="00C3338E">
        <w:rPr>
          <w:rFonts w:eastAsia="Times New Roman" w:cs="Times New Roman"/>
          <w:sz w:val="20"/>
          <w:szCs w:val="22"/>
        </w:rPr>
        <w:t xml:space="preserve"> a Covered Entity or its Business Associate, in any form or media, whether electronic, paper, or oral.</w:t>
      </w:r>
    </w:p>
    <w:p w14:paraId="5B92EC11" w14:textId="77777777" w:rsidR="00FB67F2" w:rsidRDefault="00FB67F2" w:rsidP="00FB67F2">
      <w:pPr>
        <w:rPr>
          <w:rFonts w:eastAsia="Times New Roman" w:cs="Times New Roman"/>
          <w:b/>
          <w:sz w:val="20"/>
          <w:szCs w:val="22"/>
          <w:u w:val="single"/>
        </w:rPr>
      </w:pPr>
    </w:p>
    <w:p w14:paraId="41E61E12" w14:textId="44483A48" w:rsidR="00FB67F2" w:rsidRDefault="00FB67F2" w:rsidP="00FB67F2">
      <w:pPr>
        <w:rPr>
          <w:rFonts w:eastAsia="Times New Roman" w:cs="Times New Roman"/>
          <w:sz w:val="20"/>
          <w:szCs w:val="22"/>
        </w:rPr>
      </w:pPr>
      <w:r w:rsidRPr="00C3338E">
        <w:rPr>
          <w:rFonts w:eastAsia="Times New Roman" w:cs="Times New Roman"/>
          <w:b/>
          <w:sz w:val="20"/>
          <w:szCs w:val="22"/>
          <w:u w:val="single"/>
        </w:rPr>
        <w:t>Workforce Member</w:t>
      </w:r>
      <w:r w:rsidRPr="00C3338E">
        <w:rPr>
          <w:rFonts w:eastAsia="Times New Roman" w:cs="Times New Roman"/>
          <w:b/>
          <w:sz w:val="20"/>
          <w:szCs w:val="22"/>
        </w:rPr>
        <w:t xml:space="preserve"> </w:t>
      </w:r>
      <w:r w:rsidRPr="00C3338E">
        <w:rPr>
          <w:rFonts w:eastAsia="Times New Roman" w:cs="Times New Roman"/>
          <w:sz w:val="20"/>
          <w:szCs w:val="22"/>
        </w:rPr>
        <w:t>-</w:t>
      </w:r>
      <w:r w:rsidRPr="00C3338E">
        <w:rPr>
          <w:rFonts w:eastAsia="Times New Roman" w:cs="Times New Roman"/>
          <w:b/>
          <w:sz w:val="20"/>
          <w:szCs w:val="22"/>
        </w:rPr>
        <w:t xml:space="preserve"> </w:t>
      </w:r>
      <w:r w:rsidRPr="00C3338E">
        <w:rPr>
          <w:rFonts w:eastAsia="Times New Roman" w:cs="Times New Roman"/>
          <w:sz w:val="20"/>
          <w:szCs w:val="22"/>
        </w:rPr>
        <w:t xml:space="preserve">Means employees and other persons whose conduct, in the performance of work, are under the direct control of </w:t>
      </w:r>
      <w:r w:rsidR="001F71E8">
        <w:rPr>
          <w:rFonts w:eastAsia="Times New Roman" w:cs="Times New Roman"/>
          <w:sz w:val="20"/>
          <w:szCs w:val="22"/>
        </w:rPr>
        <w:t>Sun Health</w:t>
      </w:r>
      <w:r w:rsidRPr="00C3338E">
        <w:rPr>
          <w:rFonts w:eastAsia="Times New Roman" w:cs="Times New Roman"/>
          <w:sz w:val="20"/>
          <w:szCs w:val="22"/>
        </w:rPr>
        <w:t xml:space="preserve">, whether or not they are paid by </w:t>
      </w:r>
      <w:r w:rsidR="001F71E8">
        <w:rPr>
          <w:rFonts w:eastAsia="Times New Roman" w:cs="Times New Roman"/>
          <w:sz w:val="20"/>
          <w:szCs w:val="22"/>
        </w:rPr>
        <w:t>Sun Health</w:t>
      </w:r>
      <w:r w:rsidRPr="00C3338E">
        <w:rPr>
          <w:rFonts w:eastAsia="Times New Roman" w:cs="Times New Roman"/>
          <w:sz w:val="20"/>
          <w:szCs w:val="22"/>
        </w:rPr>
        <w:t xml:space="preserve">.  This includes full and part time employees, contractors, affiliates, associates, students, and volunteers.  </w:t>
      </w:r>
    </w:p>
    <w:p w14:paraId="783B165C" w14:textId="77777777" w:rsidR="00645CD6" w:rsidRDefault="00645CD6" w:rsidP="00881786">
      <w:pPr>
        <w:rPr>
          <w:b/>
          <w:sz w:val="26"/>
          <w:szCs w:val="26"/>
        </w:rPr>
      </w:pPr>
    </w:p>
    <w:p w14:paraId="41B6DD97" w14:textId="77777777" w:rsidR="00FB67F2" w:rsidRDefault="00FB67F2">
      <w:pPr>
        <w:rPr>
          <w:b/>
          <w:sz w:val="26"/>
          <w:szCs w:val="26"/>
        </w:rPr>
      </w:pPr>
      <w:r>
        <w:rPr>
          <w:b/>
          <w:sz w:val="26"/>
          <w:szCs w:val="26"/>
        </w:rPr>
        <w:br w:type="page"/>
      </w:r>
    </w:p>
    <w:p w14:paraId="344030EE" w14:textId="045165B1" w:rsidR="005067CD" w:rsidRPr="00881786" w:rsidRDefault="0018167F" w:rsidP="00881786">
      <w:pPr>
        <w:rPr>
          <w:b/>
          <w:sz w:val="26"/>
          <w:szCs w:val="26"/>
        </w:rPr>
      </w:pPr>
      <w:r w:rsidRPr="00881786">
        <w:rPr>
          <w:b/>
          <w:sz w:val="26"/>
          <w:szCs w:val="26"/>
        </w:rPr>
        <w:lastRenderedPageBreak/>
        <w:t>Distribution</w:t>
      </w:r>
    </w:p>
    <w:p w14:paraId="4879FAED" w14:textId="5E84FDD1" w:rsidR="0054148C" w:rsidRPr="0047789B" w:rsidRDefault="0054148C" w:rsidP="0054148C">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5D6B79">
        <w:rPr>
          <w:sz w:val="20"/>
        </w:rPr>
        <w:t>HIPAA Security Officer</w:t>
      </w:r>
      <w:r w:rsidRPr="0047789B">
        <w:rPr>
          <w:sz w:val="20"/>
        </w:rPr>
        <w:t>.  If no questions or problems are stated, it will be assumed that the policy has been read and understood</w:t>
      </w:r>
      <w:r>
        <w:rPr>
          <w:sz w:val="20"/>
        </w:rPr>
        <w:t>.</w:t>
      </w:r>
    </w:p>
    <w:p w14:paraId="0A9C2933" w14:textId="77777777" w:rsidR="0054148C" w:rsidRPr="0047789B" w:rsidRDefault="0054148C" w:rsidP="0054148C">
      <w:pPr>
        <w:rPr>
          <w:sz w:val="20"/>
        </w:rPr>
      </w:pPr>
    </w:p>
    <w:p w14:paraId="0924F37E" w14:textId="74010DEC" w:rsidR="00907DB8" w:rsidRDefault="00907DB8" w:rsidP="00881786">
      <w:pPr>
        <w:rPr>
          <w:b/>
          <w:sz w:val="26"/>
          <w:szCs w:val="26"/>
        </w:rPr>
      </w:pPr>
      <w:r w:rsidRPr="00881786">
        <w:rPr>
          <w:b/>
          <w:sz w:val="26"/>
          <w:szCs w:val="26"/>
        </w:rPr>
        <w:t>Applicable Regulations</w:t>
      </w:r>
    </w:p>
    <w:tbl>
      <w:tblPr>
        <w:tblStyle w:val="TableGrid4"/>
        <w:tblW w:w="10255" w:type="dxa"/>
        <w:tblLook w:val="04A0" w:firstRow="1" w:lastRow="0" w:firstColumn="1" w:lastColumn="0" w:noHBand="0" w:noVBand="1"/>
      </w:tblPr>
      <w:tblGrid>
        <w:gridCol w:w="3685"/>
        <w:gridCol w:w="6570"/>
      </w:tblGrid>
      <w:tr w:rsidR="008048CB" w:rsidRPr="00E860EC" w14:paraId="52E1934A" w14:textId="77777777" w:rsidTr="008048CB">
        <w:trPr>
          <w:trHeight w:val="288"/>
        </w:trPr>
        <w:tc>
          <w:tcPr>
            <w:tcW w:w="3685" w:type="dxa"/>
          </w:tcPr>
          <w:p w14:paraId="3A1B54F6" w14:textId="77777777" w:rsidR="008048CB" w:rsidRPr="008048CB" w:rsidRDefault="008048CB" w:rsidP="007216DC">
            <w:pPr>
              <w:rPr>
                <w:rFonts w:cs="Arial"/>
                <w:b/>
                <w:sz w:val="20"/>
                <w:szCs w:val="20"/>
              </w:rPr>
            </w:pPr>
            <w:r w:rsidRPr="008048CB">
              <w:rPr>
                <w:rFonts w:cs="Arial"/>
                <w:b/>
                <w:sz w:val="20"/>
                <w:szCs w:val="20"/>
              </w:rPr>
              <w:t>HIPAA Security Rule</w:t>
            </w:r>
          </w:p>
        </w:tc>
        <w:tc>
          <w:tcPr>
            <w:tcW w:w="6570" w:type="dxa"/>
          </w:tcPr>
          <w:p w14:paraId="459727E0" w14:textId="77777777" w:rsidR="008048CB" w:rsidRPr="008048CB" w:rsidRDefault="008048CB" w:rsidP="007216DC">
            <w:pPr>
              <w:rPr>
                <w:rFonts w:cs="Arial"/>
                <w:b/>
                <w:sz w:val="20"/>
                <w:szCs w:val="20"/>
              </w:rPr>
            </w:pPr>
            <w:r w:rsidRPr="008048CB">
              <w:rPr>
                <w:rFonts w:cs="Arial"/>
                <w:b/>
                <w:sz w:val="20"/>
                <w:szCs w:val="20"/>
              </w:rPr>
              <w:t>45 CFR Part 160 and Subparts A and C of Part 164 </w:t>
            </w:r>
          </w:p>
        </w:tc>
      </w:tr>
      <w:tr w:rsidR="008048CB" w:rsidRPr="00E860EC" w14:paraId="14A4EAC5" w14:textId="77777777" w:rsidTr="008048CB">
        <w:trPr>
          <w:trHeight w:val="288"/>
        </w:trPr>
        <w:tc>
          <w:tcPr>
            <w:tcW w:w="3685" w:type="dxa"/>
          </w:tcPr>
          <w:p w14:paraId="32DC72B2" w14:textId="77777777" w:rsidR="008048CB" w:rsidRPr="008048CB" w:rsidRDefault="008048CB" w:rsidP="007216DC">
            <w:pPr>
              <w:rPr>
                <w:rFonts w:cs="Arial"/>
                <w:sz w:val="20"/>
                <w:szCs w:val="20"/>
              </w:rPr>
            </w:pPr>
            <w:r w:rsidRPr="008048CB">
              <w:rPr>
                <w:rFonts w:cs="Arial"/>
                <w:sz w:val="20"/>
                <w:szCs w:val="20"/>
              </w:rPr>
              <w:t>Facility Access Controls</w:t>
            </w:r>
          </w:p>
        </w:tc>
        <w:tc>
          <w:tcPr>
            <w:tcW w:w="6570" w:type="dxa"/>
          </w:tcPr>
          <w:p w14:paraId="4E28F752" w14:textId="77777777" w:rsidR="008048CB" w:rsidRPr="008048CB" w:rsidRDefault="008048CB" w:rsidP="007216DC">
            <w:pPr>
              <w:rPr>
                <w:rFonts w:cs="Arial"/>
                <w:sz w:val="20"/>
                <w:szCs w:val="20"/>
              </w:rPr>
            </w:pPr>
            <w:r w:rsidRPr="008048CB">
              <w:rPr>
                <w:rFonts w:cs="Arial"/>
                <w:sz w:val="20"/>
                <w:szCs w:val="20"/>
              </w:rPr>
              <w:t>§45 CFR 164.310(a)(1)</w:t>
            </w:r>
          </w:p>
        </w:tc>
      </w:tr>
      <w:tr w:rsidR="008048CB" w:rsidRPr="00E860EC" w14:paraId="2C511D98" w14:textId="77777777" w:rsidTr="008048CB">
        <w:trPr>
          <w:trHeight w:val="288"/>
        </w:trPr>
        <w:tc>
          <w:tcPr>
            <w:tcW w:w="3685" w:type="dxa"/>
          </w:tcPr>
          <w:p w14:paraId="15CF4336" w14:textId="77777777" w:rsidR="008048CB" w:rsidRPr="008048CB" w:rsidRDefault="008048CB" w:rsidP="007216DC">
            <w:pPr>
              <w:rPr>
                <w:rFonts w:cs="Arial"/>
                <w:sz w:val="20"/>
                <w:szCs w:val="20"/>
              </w:rPr>
            </w:pPr>
            <w:r w:rsidRPr="008048CB">
              <w:rPr>
                <w:rFonts w:cs="Arial"/>
                <w:sz w:val="20"/>
                <w:szCs w:val="20"/>
              </w:rPr>
              <w:t>Contingency Operations</w:t>
            </w:r>
          </w:p>
        </w:tc>
        <w:tc>
          <w:tcPr>
            <w:tcW w:w="6570" w:type="dxa"/>
          </w:tcPr>
          <w:p w14:paraId="4B523892" w14:textId="77777777" w:rsidR="008048CB" w:rsidRPr="008048CB" w:rsidRDefault="008048CB" w:rsidP="007216DC">
            <w:pPr>
              <w:rPr>
                <w:rFonts w:cs="Arial"/>
                <w:sz w:val="20"/>
                <w:szCs w:val="20"/>
              </w:rPr>
            </w:pPr>
            <w:r w:rsidRPr="008048CB">
              <w:rPr>
                <w:rFonts w:cs="Arial"/>
                <w:sz w:val="20"/>
                <w:szCs w:val="20"/>
              </w:rPr>
              <w:t>§45 CFR 164.310(a)(2)(i)</w:t>
            </w:r>
          </w:p>
        </w:tc>
      </w:tr>
      <w:tr w:rsidR="008048CB" w:rsidRPr="00E860EC" w14:paraId="7D962EFD" w14:textId="77777777" w:rsidTr="008048CB">
        <w:trPr>
          <w:trHeight w:val="288"/>
        </w:trPr>
        <w:tc>
          <w:tcPr>
            <w:tcW w:w="3685" w:type="dxa"/>
          </w:tcPr>
          <w:p w14:paraId="3EE920EB" w14:textId="77777777" w:rsidR="008048CB" w:rsidRPr="008048CB" w:rsidRDefault="008048CB" w:rsidP="007216DC">
            <w:pPr>
              <w:rPr>
                <w:rFonts w:cs="Arial"/>
                <w:sz w:val="20"/>
                <w:szCs w:val="20"/>
              </w:rPr>
            </w:pPr>
            <w:r w:rsidRPr="008048CB">
              <w:rPr>
                <w:rFonts w:cs="Arial"/>
                <w:sz w:val="20"/>
                <w:szCs w:val="20"/>
              </w:rPr>
              <w:t>Facility Security Plan</w:t>
            </w:r>
          </w:p>
        </w:tc>
        <w:tc>
          <w:tcPr>
            <w:tcW w:w="6570" w:type="dxa"/>
          </w:tcPr>
          <w:p w14:paraId="10A0A2E7" w14:textId="77777777" w:rsidR="008048CB" w:rsidRPr="008048CB" w:rsidRDefault="008048CB" w:rsidP="007216DC">
            <w:pPr>
              <w:rPr>
                <w:rFonts w:cs="Arial"/>
                <w:sz w:val="20"/>
                <w:szCs w:val="20"/>
              </w:rPr>
            </w:pPr>
            <w:r w:rsidRPr="008048CB">
              <w:rPr>
                <w:rFonts w:cs="Arial"/>
                <w:sz w:val="20"/>
                <w:szCs w:val="20"/>
              </w:rPr>
              <w:t>§</w:t>
            </w:r>
            <w:r w:rsidRPr="008048CB">
              <w:rPr>
                <w:rFonts w:eastAsia="Times New Roman" w:cs="Arial"/>
                <w:sz w:val="20"/>
                <w:szCs w:val="20"/>
              </w:rPr>
              <w:t>45 CFR 164.310(a)(2)(ii)</w:t>
            </w:r>
          </w:p>
        </w:tc>
      </w:tr>
      <w:tr w:rsidR="008048CB" w:rsidRPr="00E860EC" w14:paraId="3A96C60C" w14:textId="77777777" w:rsidTr="008048CB">
        <w:trPr>
          <w:trHeight w:val="288"/>
        </w:trPr>
        <w:tc>
          <w:tcPr>
            <w:tcW w:w="3685" w:type="dxa"/>
          </w:tcPr>
          <w:p w14:paraId="05958D29" w14:textId="77777777" w:rsidR="008048CB" w:rsidRPr="008048CB" w:rsidRDefault="008048CB" w:rsidP="007216DC">
            <w:pPr>
              <w:rPr>
                <w:rFonts w:cs="Arial"/>
                <w:sz w:val="20"/>
                <w:szCs w:val="20"/>
              </w:rPr>
            </w:pPr>
            <w:r w:rsidRPr="008048CB">
              <w:rPr>
                <w:rFonts w:cs="Arial"/>
                <w:sz w:val="20"/>
                <w:szCs w:val="20"/>
              </w:rPr>
              <w:t>Access Control and Validation Procedures</w:t>
            </w:r>
          </w:p>
        </w:tc>
        <w:tc>
          <w:tcPr>
            <w:tcW w:w="6570" w:type="dxa"/>
          </w:tcPr>
          <w:p w14:paraId="55550B13" w14:textId="77777777" w:rsidR="008048CB" w:rsidRPr="008048CB" w:rsidRDefault="008048CB" w:rsidP="007216DC">
            <w:pPr>
              <w:rPr>
                <w:rFonts w:cs="Arial"/>
                <w:sz w:val="20"/>
                <w:szCs w:val="20"/>
              </w:rPr>
            </w:pPr>
            <w:r w:rsidRPr="008048CB">
              <w:rPr>
                <w:rFonts w:cs="Arial"/>
                <w:sz w:val="20"/>
                <w:szCs w:val="20"/>
              </w:rPr>
              <w:t>§</w:t>
            </w:r>
            <w:r w:rsidRPr="008048CB">
              <w:rPr>
                <w:rFonts w:eastAsia="Times New Roman" w:cs="Arial"/>
                <w:sz w:val="20"/>
                <w:szCs w:val="20"/>
              </w:rPr>
              <w:t>4</w:t>
            </w:r>
            <w:r w:rsidRPr="008048CB">
              <w:rPr>
                <w:rFonts w:cs="Arial"/>
                <w:sz w:val="20"/>
                <w:szCs w:val="20"/>
              </w:rPr>
              <w:t>5 CFR 164.310(a)(2)(iii)</w:t>
            </w:r>
          </w:p>
        </w:tc>
      </w:tr>
      <w:tr w:rsidR="008048CB" w:rsidRPr="00E860EC" w14:paraId="1B5E0B43" w14:textId="77777777" w:rsidTr="008048CB">
        <w:trPr>
          <w:trHeight w:val="288"/>
        </w:trPr>
        <w:tc>
          <w:tcPr>
            <w:tcW w:w="3685" w:type="dxa"/>
          </w:tcPr>
          <w:p w14:paraId="453894A6" w14:textId="77777777" w:rsidR="008048CB" w:rsidRPr="008048CB" w:rsidRDefault="008048CB" w:rsidP="007216DC">
            <w:pPr>
              <w:rPr>
                <w:rFonts w:cs="Arial"/>
                <w:sz w:val="20"/>
                <w:szCs w:val="20"/>
              </w:rPr>
            </w:pPr>
            <w:r w:rsidRPr="008048CB">
              <w:rPr>
                <w:rFonts w:cs="Arial"/>
                <w:sz w:val="20"/>
                <w:szCs w:val="20"/>
              </w:rPr>
              <w:t>Maintenance Records</w:t>
            </w:r>
          </w:p>
        </w:tc>
        <w:tc>
          <w:tcPr>
            <w:tcW w:w="6570" w:type="dxa"/>
          </w:tcPr>
          <w:p w14:paraId="26AB796D" w14:textId="77777777" w:rsidR="008048CB" w:rsidRPr="008048CB" w:rsidRDefault="008048CB" w:rsidP="007216DC">
            <w:pPr>
              <w:rPr>
                <w:rFonts w:cs="Arial"/>
                <w:sz w:val="20"/>
                <w:szCs w:val="20"/>
              </w:rPr>
            </w:pPr>
            <w:r w:rsidRPr="008048CB">
              <w:rPr>
                <w:rFonts w:cs="Arial"/>
                <w:sz w:val="20"/>
                <w:szCs w:val="20"/>
              </w:rPr>
              <w:t>§45 CFR 164.310(a)(2)(iv)</w:t>
            </w:r>
          </w:p>
        </w:tc>
      </w:tr>
      <w:tr w:rsidR="008048CB" w:rsidRPr="00E860EC" w14:paraId="5FA22DA9" w14:textId="77777777" w:rsidTr="008048CB">
        <w:trPr>
          <w:trHeight w:val="288"/>
        </w:trPr>
        <w:tc>
          <w:tcPr>
            <w:tcW w:w="3685" w:type="dxa"/>
          </w:tcPr>
          <w:p w14:paraId="01E2D9D1" w14:textId="77777777" w:rsidR="008048CB" w:rsidRPr="008048CB" w:rsidRDefault="008048CB" w:rsidP="007216DC">
            <w:pPr>
              <w:rPr>
                <w:rFonts w:cs="Arial"/>
                <w:sz w:val="20"/>
                <w:szCs w:val="20"/>
              </w:rPr>
            </w:pPr>
            <w:r w:rsidRPr="008048CB">
              <w:rPr>
                <w:rFonts w:cs="Arial"/>
                <w:sz w:val="20"/>
                <w:szCs w:val="20"/>
              </w:rPr>
              <w:t xml:space="preserve">Security Management Process     </w:t>
            </w:r>
          </w:p>
        </w:tc>
        <w:tc>
          <w:tcPr>
            <w:tcW w:w="6570" w:type="dxa"/>
          </w:tcPr>
          <w:p w14:paraId="76CADD8C" w14:textId="77777777" w:rsidR="008048CB" w:rsidRPr="008048CB" w:rsidRDefault="008048CB" w:rsidP="007216DC">
            <w:pPr>
              <w:rPr>
                <w:rFonts w:cs="Arial"/>
                <w:sz w:val="20"/>
                <w:szCs w:val="20"/>
              </w:rPr>
            </w:pPr>
            <w:r w:rsidRPr="008048CB">
              <w:rPr>
                <w:rFonts w:cs="Arial"/>
                <w:sz w:val="20"/>
                <w:szCs w:val="20"/>
              </w:rPr>
              <w:t>§164.308(a)(1), §164.308(a)(1)(ii)(A), §164.308(a)(1)(ii)(B)</w:t>
            </w:r>
          </w:p>
        </w:tc>
      </w:tr>
      <w:tr w:rsidR="008048CB" w:rsidRPr="00E860EC" w14:paraId="254AC9C3" w14:textId="77777777" w:rsidTr="008048CB">
        <w:trPr>
          <w:trHeight w:val="288"/>
        </w:trPr>
        <w:tc>
          <w:tcPr>
            <w:tcW w:w="3685" w:type="dxa"/>
          </w:tcPr>
          <w:p w14:paraId="6BBE893A" w14:textId="77777777" w:rsidR="008048CB" w:rsidRPr="008048CB" w:rsidRDefault="008048CB" w:rsidP="007216DC">
            <w:pPr>
              <w:rPr>
                <w:rFonts w:cs="Arial"/>
                <w:sz w:val="20"/>
                <w:szCs w:val="20"/>
              </w:rPr>
            </w:pPr>
            <w:r w:rsidRPr="008048CB">
              <w:rPr>
                <w:rFonts w:cs="Arial"/>
                <w:sz w:val="20"/>
                <w:szCs w:val="20"/>
              </w:rPr>
              <w:t xml:space="preserve">Contingency Plan  </w:t>
            </w:r>
          </w:p>
        </w:tc>
        <w:tc>
          <w:tcPr>
            <w:tcW w:w="6570" w:type="dxa"/>
          </w:tcPr>
          <w:p w14:paraId="07A3784D" w14:textId="77777777" w:rsidR="008048CB" w:rsidRPr="008048CB" w:rsidRDefault="008048CB" w:rsidP="007216DC">
            <w:pPr>
              <w:rPr>
                <w:rFonts w:cs="Arial"/>
                <w:sz w:val="20"/>
                <w:szCs w:val="20"/>
              </w:rPr>
            </w:pPr>
            <w:r w:rsidRPr="008048CB">
              <w:rPr>
                <w:rFonts w:cs="Arial"/>
                <w:sz w:val="20"/>
                <w:szCs w:val="20"/>
              </w:rPr>
              <w:t>§164.308(a)(7)(ii)(E)</w:t>
            </w:r>
          </w:p>
        </w:tc>
      </w:tr>
    </w:tbl>
    <w:p w14:paraId="6780186F" w14:textId="77777777" w:rsidR="005754CE" w:rsidRPr="00881786" w:rsidRDefault="005754CE" w:rsidP="00881786">
      <w:pPr>
        <w:rPr>
          <w:b/>
          <w:sz w:val="26"/>
          <w:szCs w:val="26"/>
        </w:rPr>
      </w:pPr>
    </w:p>
    <w:p w14:paraId="699DD341" w14:textId="77777777" w:rsidR="00907DB8" w:rsidRPr="00C22860" w:rsidRDefault="00907DB8" w:rsidP="00907DB8"/>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97"/>
        <w:gridCol w:w="923"/>
        <w:gridCol w:w="785"/>
        <w:gridCol w:w="3497"/>
        <w:gridCol w:w="866"/>
      </w:tblGrid>
      <w:tr w:rsidR="00A14C27" w:rsidRPr="00A14C27" w14:paraId="1706B0F7" w14:textId="77777777" w:rsidTr="00CC37BF">
        <w:tc>
          <w:tcPr>
            <w:tcW w:w="1008" w:type="dxa"/>
            <w:tcBorders>
              <w:top w:val="single" w:sz="4" w:space="0" w:color="auto"/>
              <w:left w:val="single" w:sz="4" w:space="0" w:color="auto"/>
              <w:bottom w:val="single" w:sz="4" w:space="0" w:color="auto"/>
              <w:right w:val="single" w:sz="4" w:space="0" w:color="auto"/>
            </w:tcBorders>
            <w:hideMark/>
          </w:tcPr>
          <w:p w14:paraId="6F8B405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Date:</w:t>
            </w:r>
          </w:p>
        </w:tc>
        <w:tc>
          <w:tcPr>
            <w:tcW w:w="2497" w:type="dxa"/>
            <w:tcBorders>
              <w:top w:val="single" w:sz="4" w:space="0" w:color="auto"/>
              <w:left w:val="single" w:sz="4" w:space="0" w:color="auto"/>
              <w:bottom w:val="single" w:sz="4" w:space="0" w:color="auto"/>
              <w:right w:val="single" w:sz="4" w:space="0" w:color="auto"/>
            </w:tcBorders>
            <w:hideMark/>
          </w:tcPr>
          <w:p w14:paraId="4C31238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Reviewed/Revised by:</w:t>
            </w:r>
          </w:p>
        </w:tc>
        <w:tc>
          <w:tcPr>
            <w:tcW w:w="923" w:type="dxa"/>
            <w:tcBorders>
              <w:top w:val="single" w:sz="4" w:space="0" w:color="auto"/>
              <w:left w:val="single" w:sz="4" w:space="0" w:color="auto"/>
              <w:bottom w:val="single" w:sz="4" w:space="0" w:color="auto"/>
              <w:right w:val="single" w:sz="4" w:space="0" w:color="auto"/>
            </w:tcBorders>
            <w:hideMark/>
          </w:tcPr>
          <w:p w14:paraId="142DA421"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New Changes</w:t>
            </w:r>
          </w:p>
        </w:tc>
        <w:tc>
          <w:tcPr>
            <w:tcW w:w="785" w:type="dxa"/>
            <w:tcBorders>
              <w:top w:val="single" w:sz="4" w:space="0" w:color="auto"/>
              <w:left w:val="single" w:sz="4" w:space="0" w:color="auto"/>
              <w:bottom w:val="single" w:sz="4" w:space="0" w:color="auto"/>
              <w:right w:val="single" w:sz="4" w:space="0" w:color="auto"/>
            </w:tcBorders>
            <w:hideMark/>
          </w:tcPr>
          <w:p w14:paraId="35FE398A"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No Change</w:t>
            </w:r>
            <w:r w:rsidRPr="00A14C27">
              <w:rPr>
                <w:rFonts w:ascii="Arial" w:eastAsia="Times New Roman" w:hAnsi="Arial" w:cs="Arial"/>
                <w:sz w:val="24"/>
              </w:rPr>
              <w:t>√</w:t>
            </w:r>
          </w:p>
        </w:tc>
        <w:tc>
          <w:tcPr>
            <w:tcW w:w="3497" w:type="dxa"/>
            <w:tcBorders>
              <w:top w:val="single" w:sz="4" w:space="0" w:color="auto"/>
              <w:left w:val="single" w:sz="4" w:space="0" w:color="auto"/>
              <w:bottom w:val="single" w:sz="4" w:space="0" w:color="auto"/>
              <w:right w:val="single" w:sz="4" w:space="0" w:color="auto"/>
            </w:tcBorders>
            <w:hideMark/>
          </w:tcPr>
          <w:p w14:paraId="74F23BC5"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tcPr>
          <w:p w14:paraId="0BEBF034" w14:textId="77777777" w:rsidR="00A14C27" w:rsidRPr="00A14C27" w:rsidRDefault="00A14C27" w:rsidP="00A14C27">
            <w:pPr>
              <w:spacing w:before="120" w:after="120"/>
              <w:jc w:val="both"/>
              <w:rPr>
                <w:rFonts w:ascii="Arial" w:eastAsia="Times New Roman" w:hAnsi="Arial" w:cs="Arial"/>
                <w:sz w:val="16"/>
                <w:szCs w:val="16"/>
              </w:rPr>
            </w:pPr>
            <w:r w:rsidRPr="00A14C27">
              <w:rPr>
                <w:rFonts w:ascii="Arial" w:eastAsia="Times New Roman" w:hAnsi="Arial" w:cs="Arial"/>
                <w:sz w:val="16"/>
                <w:szCs w:val="16"/>
              </w:rPr>
              <w:t>INITIALS</w:t>
            </w:r>
          </w:p>
          <w:p w14:paraId="756AA346" w14:textId="77777777" w:rsidR="00A14C27" w:rsidRPr="00A14C27" w:rsidRDefault="00A14C27" w:rsidP="00A14C27">
            <w:pPr>
              <w:spacing w:before="120" w:after="120"/>
              <w:jc w:val="both"/>
              <w:rPr>
                <w:rFonts w:ascii="Arial" w:eastAsia="Times New Roman" w:hAnsi="Arial" w:cs="Arial"/>
                <w:sz w:val="16"/>
                <w:szCs w:val="16"/>
              </w:rPr>
            </w:pPr>
          </w:p>
        </w:tc>
      </w:tr>
      <w:tr w:rsidR="00A14C27" w:rsidRPr="00A14C27" w14:paraId="37A8F262"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6BFA302"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30DD752B"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3AE4CCC3"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76901C05"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118FDB17"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6D4AACA"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60B73F39"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67675BC3"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03383098"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1DACE826"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0D52C4BD"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B52435A"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DEEB27A" w14:textId="77777777" w:rsidR="00A14C27" w:rsidRPr="00A14C27" w:rsidRDefault="00A14C27" w:rsidP="00A14C27">
            <w:pPr>
              <w:spacing w:before="120" w:after="120"/>
              <w:rPr>
                <w:rFonts w:ascii="Arial" w:eastAsia="Times New Roman" w:hAnsi="Arial" w:cs="Arial"/>
                <w:sz w:val="20"/>
                <w:szCs w:val="20"/>
              </w:rPr>
            </w:pPr>
          </w:p>
          <w:p w14:paraId="2941E9E8"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3652019D"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10154A8"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5B19A0E6"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013E78BE"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54AAB4B0"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3E2AF76" w14:textId="77777777" w:rsidR="00A14C27" w:rsidRPr="00A14C27" w:rsidRDefault="00A14C27" w:rsidP="00A14C27">
            <w:pPr>
              <w:spacing w:before="120" w:after="120"/>
              <w:rPr>
                <w:rFonts w:ascii="Arial" w:eastAsia="Times New Roman" w:hAnsi="Arial" w:cs="Arial"/>
                <w:sz w:val="20"/>
                <w:szCs w:val="20"/>
              </w:rPr>
            </w:pPr>
          </w:p>
          <w:p w14:paraId="1A7219E9"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2658C388" w14:textId="77777777" w:rsidR="00A14C27" w:rsidRPr="00A14C27" w:rsidRDefault="00A14C27" w:rsidP="00A14C27">
            <w:pPr>
              <w:spacing w:before="120" w:after="120"/>
              <w:rPr>
                <w:rFonts w:ascii="Arial" w:eastAsia="Times New Roman" w:hAnsi="Arial"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28D9" w14:textId="77777777" w:rsidR="00F1213D" w:rsidRDefault="00F1213D" w:rsidP="00B16FB4">
      <w:r>
        <w:separator/>
      </w:r>
    </w:p>
  </w:endnote>
  <w:endnote w:type="continuationSeparator" w:id="0">
    <w:p w14:paraId="4D65EB12" w14:textId="77777777" w:rsidR="00F1213D" w:rsidRDefault="00F1213D"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554A2276"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2028" w14:textId="77777777" w:rsidR="00F1213D" w:rsidRDefault="00F1213D" w:rsidP="00B16FB4">
      <w:r>
        <w:separator/>
      </w:r>
    </w:p>
  </w:footnote>
  <w:footnote w:type="continuationSeparator" w:id="0">
    <w:p w14:paraId="11E5EBBB" w14:textId="77777777" w:rsidR="00F1213D" w:rsidRDefault="00F1213D"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8BBF" w14:textId="77777777" w:rsidR="00E41A4A" w:rsidRDefault="00E4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7BA2BCC0"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1C3"/>
    <w:multiLevelType w:val="hybridMultilevel"/>
    <w:tmpl w:val="1CB469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D80B82"/>
    <w:multiLevelType w:val="hybridMultilevel"/>
    <w:tmpl w:val="1CB46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393B79"/>
    <w:multiLevelType w:val="hybridMultilevel"/>
    <w:tmpl w:val="1CB469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A5498"/>
    <w:multiLevelType w:val="hybridMultilevel"/>
    <w:tmpl w:val="1CB469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1E4E5A"/>
    <w:multiLevelType w:val="hybridMultilevel"/>
    <w:tmpl w:val="1CB469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193303">
    <w:abstractNumId w:val="6"/>
  </w:num>
  <w:num w:numId="2" w16cid:durableId="281427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4683854">
    <w:abstractNumId w:val="1"/>
  </w:num>
  <w:num w:numId="4" w16cid:durableId="416172505">
    <w:abstractNumId w:val="4"/>
  </w:num>
  <w:num w:numId="5" w16cid:durableId="79063015">
    <w:abstractNumId w:val="2"/>
  </w:num>
  <w:num w:numId="6" w16cid:durableId="1840657326">
    <w:abstractNumId w:val="0"/>
  </w:num>
  <w:num w:numId="7" w16cid:durableId="59035209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12C8A"/>
    <w:rsid w:val="000313F4"/>
    <w:rsid w:val="00031E57"/>
    <w:rsid w:val="00036E69"/>
    <w:rsid w:val="000B4FAD"/>
    <w:rsid w:val="000C0A08"/>
    <w:rsid w:val="000C1EDD"/>
    <w:rsid w:val="00130958"/>
    <w:rsid w:val="00156AAE"/>
    <w:rsid w:val="00172DE2"/>
    <w:rsid w:val="001815DF"/>
    <w:rsid w:val="0018167F"/>
    <w:rsid w:val="00196490"/>
    <w:rsid w:val="001A3862"/>
    <w:rsid w:val="001B3335"/>
    <w:rsid w:val="001B7F2B"/>
    <w:rsid w:val="001C7A63"/>
    <w:rsid w:val="001F71E8"/>
    <w:rsid w:val="002033BA"/>
    <w:rsid w:val="0020431B"/>
    <w:rsid w:val="0022053C"/>
    <w:rsid w:val="00225B95"/>
    <w:rsid w:val="002306B4"/>
    <w:rsid w:val="00232939"/>
    <w:rsid w:val="00232A5A"/>
    <w:rsid w:val="00236388"/>
    <w:rsid w:val="0023703B"/>
    <w:rsid w:val="0024474C"/>
    <w:rsid w:val="00264F39"/>
    <w:rsid w:val="0026638E"/>
    <w:rsid w:val="00267583"/>
    <w:rsid w:val="00281F54"/>
    <w:rsid w:val="00283357"/>
    <w:rsid w:val="00287596"/>
    <w:rsid w:val="002A3675"/>
    <w:rsid w:val="002B032B"/>
    <w:rsid w:val="002B7950"/>
    <w:rsid w:val="002C26F2"/>
    <w:rsid w:val="002C5AB1"/>
    <w:rsid w:val="00313BB8"/>
    <w:rsid w:val="003272D7"/>
    <w:rsid w:val="00341273"/>
    <w:rsid w:val="0036793E"/>
    <w:rsid w:val="003744ED"/>
    <w:rsid w:val="00383ED7"/>
    <w:rsid w:val="00391B9D"/>
    <w:rsid w:val="00397219"/>
    <w:rsid w:val="00397FA7"/>
    <w:rsid w:val="003B7664"/>
    <w:rsid w:val="003C06EE"/>
    <w:rsid w:val="003C29C9"/>
    <w:rsid w:val="00424090"/>
    <w:rsid w:val="00427207"/>
    <w:rsid w:val="004472A7"/>
    <w:rsid w:val="004916AD"/>
    <w:rsid w:val="004B7BE0"/>
    <w:rsid w:val="00502E94"/>
    <w:rsid w:val="005067CD"/>
    <w:rsid w:val="00513980"/>
    <w:rsid w:val="00531705"/>
    <w:rsid w:val="00533322"/>
    <w:rsid w:val="0054148C"/>
    <w:rsid w:val="00545C9D"/>
    <w:rsid w:val="00547782"/>
    <w:rsid w:val="00552658"/>
    <w:rsid w:val="00556649"/>
    <w:rsid w:val="005575D4"/>
    <w:rsid w:val="005671D3"/>
    <w:rsid w:val="005754CE"/>
    <w:rsid w:val="005D6B79"/>
    <w:rsid w:val="005E3A0D"/>
    <w:rsid w:val="005F03B2"/>
    <w:rsid w:val="00620DB1"/>
    <w:rsid w:val="00624669"/>
    <w:rsid w:val="0063028F"/>
    <w:rsid w:val="00633B04"/>
    <w:rsid w:val="00635654"/>
    <w:rsid w:val="00645CD6"/>
    <w:rsid w:val="00673409"/>
    <w:rsid w:val="00674A2E"/>
    <w:rsid w:val="00676F6F"/>
    <w:rsid w:val="00682267"/>
    <w:rsid w:val="00683885"/>
    <w:rsid w:val="006B0791"/>
    <w:rsid w:val="006C137B"/>
    <w:rsid w:val="00725B3C"/>
    <w:rsid w:val="0072738D"/>
    <w:rsid w:val="00744D5C"/>
    <w:rsid w:val="007452C9"/>
    <w:rsid w:val="00755D4B"/>
    <w:rsid w:val="00756033"/>
    <w:rsid w:val="00775ACC"/>
    <w:rsid w:val="00783709"/>
    <w:rsid w:val="007D2BD2"/>
    <w:rsid w:val="00802549"/>
    <w:rsid w:val="008048CB"/>
    <w:rsid w:val="008102F0"/>
    <w:rsid w:val="00810987"/>
    <w:rsid w:val="00811DB9"/>
    <w:rsid w:val="00821BB0"/>
    <w:rsid w:val="008314CB"/>
    <w:rsid w:val="00832E2F"/>
    <w:rsid w:val="008368C8"/>
    <w:rsid w:val="00852E36"/>
    <w:rsid w:val="0086555E"/>
    <w:rsid w:val="00871F7A"/>
    <w:rsid w:val="0087672F"/>
    <w:rsid w:val="00881786"/>
    <w:rsid w:val="00892E08"/>
    <w:rsid w:val="008C1D1D"/>
    <w:rsid w:val="008E51EE"/>
    <w:rsid w:val="00907DB8"/>
    <w:rsid w:val="009160C7"/>
    <w:rsid w:val="00924F9B"/>
    <w:rsid w:val="009A196F"/>
    <w:rsid w:val="009B6731"/>
    <w:rsid w:val="009D3196"/>
    <w:rsid w:val="009D6673"/>
    <w:rsid w:val="009F5955"/>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930AF"/>
    <w:rsid w:val="00AD30E8"/>
    <w:rsid w:val="00AE5178"/>
    <w:rsid w:val="00AE6064"/>
    <w:rsid w:val="00B15772"/>
    <w:rsid w:val="00B1658A"/>
    <w:rsid w:val="00B16FB4"/>
    <w:rsid w:val="00B37107"/>
    <w:rsid w:val="00B557B9"/>
    <w:rsid w:val="00B56A66"/>
    <w:rsid w:val="00B81326"/>
    <w:rsid w:val="00BD5FA3"/>
    <w:rsid w:val="00BE593A"/>
    <w:rsid w:val="00C00658"/>
    <w:rsid w:val="00C024F4"/>
    <w:rsid w:val="00C23F22"/>
    <w:rsid w:val="00C27C79"/>
    <w:rsid w:val="00C41399"/>
    <w:rsid w:val="00C46ADC"/>
    <w:rsid w:val="00C545E2"/>
    <w:rsid w:val="00C55D59"/>
    <w:rsid w:val="00C66F9B"/>
    <w:rsid w:val="00C803FE"/>
    <w:rsid w:val="00C8281B"/>
    <w:rsid w:val="00C91ADE"/>
    <w:rsid w:val="00C937A9"/>
    <w:rsid w:val="00CB43B4"/>
    <w:rsid w:val="00CD4C29"/>
    <w:rsid w:val="00CF6070"/>
    <w:rsid w:val="00D00932"/>
    <w:rsid w:val="00D00A62"/>
    <w:rsid w:val="00D026D6"/>
    <w:rsid w:val="00D23F95"/>
    <w:rsid w:val="00D37529"/>
    <w:rsid w:val="00D57034"/>
    <w:rsid w:val="00D57060"/>
    <w:rsid w:val="00D706B5"/>
    <w:rsid w:val="00D806C9"/>
    <w:rsid w:val="00D9180D"/>
    <w:rsid w:val="00D953C0"/>
    <w:rsid w:val="00D95992"/>
    <w:rsid w:val="00DB0569"/>
    <w:rsid w:val="00DB43B4"/>
    <w:rsid w:val="00DC46A7"/>
    <w:rsid w:val="00DD16B0"/>
    <w:rsid w:val="00DD768C"/>
    <w:rsid w:val="00DE4EB4"/>
    <w:rsid w:val="00DF6CA6"/>
    <w:rsid w:val="00E05AC7"/>
    <w:rsid w:val="00E41A4A"/>
    <w:rsid w:val="00E56839"/>
    <w:rsid w:val="00E67980"/>
    <w:rsid w:val="00E67E0E"/>
    <w:rsid w:val="00EA44E0"/>
    <w:rsid w:val="00EB0279"/>
    <w:rsid w:val="00EB1807"/>
    <w:rsid w:val="00EB3BB9"/>
    <w:rsid w:val="00EC783C"/>
    <w:rsid w:val="00ED3A8C"/>
    <w:rsid w:val="00F01761"/>
    <w:rsid w:val="00F02AEE"/>
    <w:rsid w:val="00F1213D"/>
    <w:rsid w:val="00F16BD7"/>
    <w:rsid w:val="00F206A8"/>
    <w:rsid w:val="00F27BFD"/>
    <w:rsid w:val="00F36E37"/>
    <w:rsid w:val="00F42DF2"/>
    <w:rsid w:val="00F529B7"/>
    <w:rsid w:val="00F54534"/>
    <w:rsid w:val="00F56730"/>
    <w:rsid w:val="00FB67F2"/>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48C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3.xml><?xml version="1.0" encoding="utf-8"?>
<ds:datastoreItem xmlns:ds="http://schemas.openxmlformats.org/officeDocument/2006/customXml" ds:itemID="{7B6F065B-90F2-4DEF-B2E5-2CCB9F570652}">
  <ds:schemaRefs>
    <ds:schemaRef ds:uri="http://schemas.openxmlformats.org/officeDocument/2006/bibliography"/>
  </ds:schemaRefs>
</ds:datastoreItem>
</file>

<file path=customXml/itemProps4.xml><?xml version="1.0" encoding="utf-8"?>
<ds:datastoreItem xmlns:ds="http://schemas.openxmlformats.org/officeDocument/2006/customXml" ds:itemID="{7AD446D7-6D1F-416F-B68A-ED003DAC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2</cp:revision>
  <dcterms:created xsi:type="dcterms:W3CDTF">2022-06-08T21:12:00Z</dcterms:created>
  <dcterms:modified xsi:type="dcterms:W3CDTF">2022-06-08T21:12:00Z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2017-10-08T21:25:17.2801756-04:00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