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1F4BCF1A" w:rsidR="00871F7A" w:rsidRPr="00C77426" w:rsidRDefault="00871F7A" w:rsidP="005754CE">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5754CE">
              <w:rPr>
                <w:rFonts w:eastAsia="Times New Roman" w:cs="Times New Roman"/>
                <w:b/>
                <w:sz w:val="20"/>
                <w:szCs w:val="20"/>
              </w:rPr>
              <w:t xml:space="preserve">Media Protection Policy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04696EC6"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962C89">
              <w:rPr>
                <w:rFonts w:eastAsia="Times New Roman" w:cs="Times New Roman"/>
                <w:b/>
                <w:sz w:val="20"/>
                <w:szCs w:val="20"/>
              </w:rPr>
              <w:t xml:space="preserve"> Information Technology</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5925FA50"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100FB8">
              <w:rPr>
                <w:rFonts w:eastAsia="Times New Roman" w:cs="Times New Roman"/>
                <w:b/>
                <w:sz w:val="20"/>
                <w:szCs w:val="20"/>
              </w:rPr>
              <w:t>Donny Friday</w:t>
            </w:r>
          </w:p>
        </w:tc>
        <w:tc>
          <w:tcPr>
            <w:tcW w:w="3748" w:type="dxa"/>
            <w:tcBorders>
              <w:top w:val="single" w:sz="4" w:space="0" w:color="auto"/>
              <w:left w:val="single" w:sz="4" w:space="0" w:color="auto"/>
              <w:bottom w:val="single" w:sz="4" w:space="0" w:color="auto"/>
            </w:tcBorders>
            <w:vAlign w:val="bottom"/>
          </w:tcPr>
          <w:p w14:paraId="39C844DD" w14:textId="33FB915C"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100FB8">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4BD8E2AA"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962C89">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4D4CEA48"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962C89">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58CD5E90"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962C89">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710A7D">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3D2D0CBC" w14:textId="4036E2A6" w:rsidR="00531705" w:rsidRDefault="005754CE" w:rsidP="00881786">
      <w:pPr>
        <w:rPr>
          <w:rFonts w:eastAsia="Times New Roman" w:cs="Times New Roman"/>
          <w:sz w:val="20"/>
          <w:szCs w:val="22"/>
        </w:rPr>
      </w:pPr>
      <w:r w:rsidRPr="005754CE">
        <w:rPr>
          <w:rFonts w:eastAsia="Times New Roman" w:cs="Times New Roman"/>
          <w:sz w:val="20"/>
          <w:szCs w:val="22"/>
        </w:rPr>
        <w:t>To define and document appropriate procedures and controls to protect the confidentiality and integrity of Sensitive information stored on Digital Media</w:t>
      </w:r>
      <w:r w:rsidR="00531705" w:rsidRPr="00531705">
        <w:rPr>
          <w:rFonts w:eastAsia="Times New Roman" w:cs="Times New Roman"/>
          <w:sz w:val="20"/>
          <w:szCs w:val="22"/>
        </w:rPr>
        <w:t>.</w:t>
      </w:r>
    </w:p>
    <w:p w14:paraId="4480C12D" w14:textId="77777777" w:rsidR="00531705" w:rsidRDefault="00531705"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228ABF5C" w14:textId="65A6738E" w:rsidR="00531705" w:rsidRDefault="005754CE" w:rsidP="00881786">
      <w:pPr>
        <w:rPr>
          <w:sz w:val="20"/>
          <w:szCs w:val="20"/>
        </w:rPr>
      </w:pPr>
      <w:r w:rsidRPr="005754CE">
        <w:rPr>
          <w:sz w:val="20"/>
          <w:szCs w:val="20"/>
        </w:rPr>
        <w:t xml:space="preserve">This policy applies to all </w:t>
      </w:r>
      <w:r w:rsidR="004A506C">
        <w:rPr>
          <w:sz w:val="20"/>
          <w:szCs w:val="20"/>
        </w:rPr>
        <w:t xml:space="preserve">Sun Health </w:t>
      </w:r>
      <w:r w:rsidRPr="005754CE">
        <w:rPr>
          <w:sz w:val="20"/>
          <w:szCs w:val="20"/>
        </w:rPr>
        <w:t>Workforce Members and all Digital Media containing Sensitive information.</w:t>
      </w:r>
    </w:p>
    <w:p w14:paraId="58152B47" w14:textId="77777777" w:rsidR="005754CE" w:rsidRDefault="005754CE"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66913B61" w14:textId="0C0B97C9" w:rsidR="005754CE" w:rsidRDefault="005754CE" w:rsidP="00881786">
      <w:pPr>
        <w:rPr>
          <w:sz w:val="20"/>
          <w:szCs w:val="20"/>
        </w:rPr>
      </w:pPr>
      <w:r w:rsidRPr="00BB409F">
        <w:rPr>
          <w:sz w:val="20"/>
          <w:szCs w:val="20"/>
        </w:rPr>
        <w:t xml:space="preserve">Appropriate procedures and controls shall be established and implemented to prevent unauthorized access to </w:t>
      </w:r>
      <w:r w:rsidR="004A506C">
        <w:rPr>
          <w:sz w:val="20"/>
          <w:szCs w:val="20"/>
        </w:rPr>
        <w:t xml:space="preserve">Sun Health </w:t>
      </w:r>
      <w:r w:rsidRPr="00BB409F">
        <w:rPr>
          <w:sz w:val="20"/>
          <w:szCs w:val="20"/>
        </w:rPr>
        <w:t>Sensitive information stored on Digital Media.   Media Protection controls and procedures shall be regularly reviewed for appropriateness and effectiveness.</w:t>
      </w:r>
      <w:r w:rsidRPr="005754CE">
        <w:rPr>
          <w:sz w:val="20"/>
          <w:szCs w:val="20"/>
        </w:rPr>
        <w:t xml:space="preserve"> </w:t>
      </w:r>
    </w:p>
    <w:p w14:paraId="745A6C95" w14:textId="6E9645E9" w:rsidR="005754CE" w:rsidRDefault="005754CE" w:rsidP="00BB409F">
      <w:pPr>
        <w:rPr>
          <w:rFonts w:eastAsia="Times New Roman" w:cs="Times New Roman"/>
          <w:sz w:val="20"/>
          <w:szCs w:val="20"/>
        </w:rPr>
      </w:pPr>
    </w:p>
    <w:p w14:paraId="178C0D29" w14:textId="77777777" w:rsidR="00881786" w:rsidRDefault="00881786" w:rsidP="00881786">
      <w:pPr>
        <w:rPr>
          <w:b/>
          <w:sz w:val="26"/>
          <w:szCs w:val="26"/>
        </w:rPr>
      </w:pPr>
    </w:p>
    <w:p w14:paraId="705A01B6" w14:textId="0E9C26E0" w:rsidR="00881786" w:rsidRPr="00881786" w:rsidRDefault="00881786" w:rsidP="00881786">
      <w:pPr>
        <w:rPr>
          <w:b/>
          <w:sz w:val="26"/>
          <w:szCs w:val="26"/>
        </w:rPr>
      </w:pPr>
      <w:r w:rsidRPr="00881786">
        <w:rPr>
          <w:b/>
          <w:sz w:val="26"/>
          <w:szCs w:val="26"/>
        </w:rPr>
        <w:t>Procedures</w:t>
      </w:r>
    </w:p>
    <w:p w14:paraId="4914B02B" w14:textId="09D9AEB2" w:rsidR="000B4FAD" w:rsidRDefault="005754CE" w:rsidP="00881786">
      <w:pPr>
        <w:rPr>
          <w:b/>
          <w:sz w:val="26"/>
          <w:szCs w:val="26"/>
        </w:rPr>
      </w:pPr>
      <w:r>
        <w:rPr>
          <w:b/>
          <w:sz w:val="26"/>
          <w:szCs w:val="26"/>
        </w:rPr>
        <w:t xml:space="preserve">Digital Media </w:t>
      </w:r>
      <w:r w:rsidR="00531705">
        <w:rPr>
          <w:b/>
          <w:sz w:val="26"/>
          <w:szCs w:val="26"/>
        </w:rPr>
        <w:t xml:space="preserve"> </w:t>
      </w:r>
    </w:p>
    <w:p w14:paraId="7A97332F" w14:textId="77777777" w:rsidR="005754CE" w:rsidRPr="00F84569" w:rsidRDefault="005754CE" w:rsidP="00F45F58">
      <w:pPr>
        <w:pStyle w:val="ListParagraph"/>
        <w:numPr>
          <w:ilvl w:val="0"/>
          <w:numId w:val="4"/>
        </w:numPr>
        <w:spacing w:after="200" w:line="276" w:lineRule="auto"/>
        <w:ind w:left="720"/>
        <w:rPr>
          <w:rFonts w:eastAsia="Times New Roman" w:cs="Times New Roman"/>
          <w:sz w:val="20"/>
          <w:szCs w:val="22"/>
        </w:rPr>
      </w:pPr>
      <w:r w:rsidRPr="00F84569">
        <w:rPr>
          <w:rFonts w:eastAsia="Times New Roman" w:cs="Times New Roman"/>
          <w:sz w:val="20"/>
          <w:szCs w:val="22"/>
        </w:rPr>
        <w:t>Only authorized Workforce Members are permitted to access Digital Media.</w:t>
      </w:r>
    </w:p>
    <w:p w14:paraId="15939AD2" w14:textId="77777777" w:rsidR="005754CE" w:rsidRPr="00F84569" w:rsidRDefault="005754CE" w:rsidP="00F45F58">
      <w:pPr>
        <w:pStyle w:val="ListParagraph"/>
        <w:numPr>
          <w:ilvl w:val="0"/>
          <w:numId w:val="4"/>
        </w:numPr>
        <w:spacing w:after="200" w:line="276" w:lineRule="auto"/>
        <w:ind w:left="720"/>
        <w:rPr>
          <w:rFonts w:eastAsia="Times New Roman" w:cs="Times New Roman"/>
          <w:sz w:val="20"/>
          <w:szCs w:val="22"/>
        </w:rPr>
      </w:pPr>
      <w:r w:rsidRPr="00F84569">
        <w:rPr>
          <w:rFonts w:eastAsia="Times New Roman" w:cs="Times New Roman"/>
          <w:sz w:val="20"/>
          <w:szCs w:val="22"/>
        </w:rPr>
        <w:t>Digital Media must be managed and tracked throughout its lifecycle including acquisition, movement, and destruction.</w:t>
      </w:r>
    </w:p>
    <w:p w14:paraId="5AA730CC" w14:textId="77777777" w:rsidR="005754CE" w:rsidRPr="00F84569" w:rsidRDefault="005754CE" w:rsidP="00F45F58">
      <w:pPr>
        <w:pStyle w:val="ListParagraph"/>
        <w:numPr>
          <w:ilvl w:val="0"/>
          <w:numId w:val="4"/>
        </w:numPr>
        <w:spacing w:after="200" w:line="276" w:lineRule="auto"/>
        <w:ind w:left="720"/>
        <w:rPr>
          <w:rFonts w:eastAsia="Times New Roman" w:cs="Times New Roman"/>
          <w:sz w:val="20"/>
          <w:szCs w:val="22"/>
        </w:rPr>
      </w:pPr>
      <w:r w:rsidRPr="00F84569">
        <w:rPr>
          <w:rFonts w:eastAsia="Times New Roman" w:cs="Times New Roman"/>
          <w:sz w:val="20"/>
          <w:szCs w:val="22"/>
        </w:rPr>
        <w:t>Portable Digital Media, including USB storage and external hard drives, must be approved and sanitized prior to first use.</w:t>
      </w:r>
      <w:r w:rsidRPr="00F84569">
        <w:rPr>
          <w:rFonts w:eastAsia="Times New Roman" w:cs="Times New Roman"/>
          <w:color w:val="FF0000"/>
          <w:sz w:val="20"/>
          <w:szCs w:val="22"/>
        </w:rPr>
        <w:t xml:space="preserve">   </w:t>
      </w:r>
    </w:p>
    <w:p w14:paraId="5B07D906" w14:textId="77777777" w:rsidR="005754CE" w:rsidRPr="00F84569" w:rsidRDefault="005754CE" w:rsidP="00F45F58">
      <w:pPr>
        <w:pStyle w:val="ListParagraph"/>
        <w:numPr>
          <w:ilvl w:val="0"/>
          <w:numId w:val="4"/>
        </w:numPr>
        <w:spacing w:after="200" w:line="276" w:lineRule="auto"/>
        <w:ind w:left="720"/>
        <w:rPr>
          <w:rFonts w:eastAsia="Times New Roman" w:cs="Times New Roman"/>
          <w:sz w:val="20"/>
          <w:szCs w:val="22"/>
        </w:rPr>
      </w:pPr>
      <w:r w:rsidRPr="00F84569">
        <w:rPr>
          <w:rFonts w:eastAsia="Times New Roman" w:cs="Times New Roman"/>
          <w:sz w:val="20"/>
          <w:szCs w:val="22"/>
        </w:rPr>
        <w:lastRenderedPageBreak/>
        <w:t>Portable Digital Media containing Sensitive information must be encrypted using appropriate standards.</w:t>
      </w:r>
    </w:p>
    <w:p w14:paraId="571DAFFE" w14:textId="77777777" w:rsidR="005754CE" w:rsidRPr="00F84569" w:rsidRDefault="005754CE" w:rsidP="00F45F58">
      <w:pPr>
        <w:pStyle w:val="ListParagraph"/>
        <w:numPr>
          <w:ilvl w:val="0"/>
          <w:numId w:val="4"/>
        </w:numPr>
        <w:spacing w:after="200" w:line="276" w:lineRule="auto"/>
        <w:ind w:left="720"/>
        <w:rPr>
          <w:rFonts w:eastAsia="Times New Roman" w:cs="Times New Roman"/>
          <w:sz w:val="20"/>
          <w:szCs w:val="22"/>
        </w:rPr>
      </w:pPr>
      <w:r w:rsidRPr="00F84569">
        <w:rPr>
          <w:rFonts w:eastAsia="Times New Roman" w:cs="Times New Roman"/>
          <w:sz w:val="20"/>
          <w:szCs w:val="22"/>
        </w:rPr>
        <w:t>Portable Digital Media containing Sensitive information shall be identified with appropriate markings if feasible.</w:t>
      </w:r>
    </w:p>
    <w:p w14:paraId="28F583EF" w14:textId="77777777" w:rsidR="005754CE" w:rsidRPr="005754CE" w:rsidRDefault="005754CE" w:rsidP="005754CE">
      <w:pPr>
        <w:rPr>
          <w:b/>
          <w:sz w:val="26"/>
          <w:szCs w:val="26"/>
        </w:rPr>
      </w:pPr>
      <w:bookmarkStart w:id="0" w:name="_Toc347225723"/>
      <w:bookmarkStart w:id="1" w:name="_Toc433636228"/>
      <w:r w:rsidRPr="005754CE">
        <w:rPr>
          <w:b/>
          <w:sz w:val="26"/>
          <w:szCs w:val="26"/>
        </w:rPr>
        <w:t>Backup Media</w:t>
      </w:r>
      <w:bookmarkEnd w:id="0"/>
      <w:bookmarkEnd w:id="1"/>
    </w:p>
    <w:p w14:paraId="6DD32770" w14:textId="77777777"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Backup media containing protected health information (PHI), personally identifiable information (PII), or other Sensitive information shall be encrypted.</w:t>
      </w:r>
    </w:p>
    <w:p w14:paraId="589CD5B1" w14:textId="77777777"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 xml:space="preserve">Backup media must be stored in a secure off-site location protected by a locking mechanism only accessible by authorized personnel. </w:t>
      </w:r>
    </w:p>
    <w:p w14:paraId="13BED79F" w14:textId="5FF80375"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Personnel must be specifically authorized</w:t>
      </w:r>
      <w:r w:rsidR="004A506C">
        <w:rPr>
          <w:rFonts w:eastAsia="Times New Roman" w:cs="Times New Roman"/>
          <w:sz w:val="20"/>
          <w:szCs w:val="22"/>
        </w:rPr>
        <w:t xml:space="preserve"> by Sun Health</w:t>
      </w:r>
      <w:r w:rsidRPr="00F84569">
        <w:rPr>
          <w:rFonts w:eastAsia="Times New Roman" w:cs="Times New Roman"/>
          <w:sz w:val="20"/>
          <w:szCs w:val="22"/>
        </w:rPr>
        <w:t xml:space="preserve"> to access to the secure storage area and records of that access must be maintained.</w:t>
      </w:r>
    </w:p>
    <w:p w14:paraId="1B62ACF4" w14:textId="77777777"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Visitors to the secure storage area must be escorted at all times.  A visitor log shall be maintained to document escorted visitor access.</w:t>
      </w:r>
    </w:p>
    <w:p w14:paraId="3391DD57" w14:textId="77777777"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Backup media shall be retired before its maximum usages or maximum age is reached.</w:t>
      </w:r>
    </w:p>
    <w:p w14:paraId="7DE51E21" w14:textId="77777777" w:rsidR="005754CE" w:rsidRPr="00F84569" w:rsidRDefault="005754CE" w:rsidP="00F45F58">
      <w:pPr>
        <w:pStyle w:val="ListParagraph"/>
        <w:numPr>
          <w:ilvl w:val="0"/>
          <w:numId w:val="3"/>
        </w:numPr>
        <w:spacing w:after="200" w:line="276" w:lineRule="auto"/>
        <w:rPr>
          <w:rFonts w:eastAsia="Times New Roman" w:cs="Times New Roman"/>
          <w:sz w:val="20"/>
          <w:szCs w:val="22"/>
        </w:rPr>
      </w:pPr>
      <w:r w:rsidRPr="00F84569">
        <w:rPr>
          <w:rFonts w:eastAsia="Times New Roman" w:cs="Times New Roman"/>
          <w:sz w:val="20"/>
          <w:szCs w:val="22"/>
        </w:rPr>
        <w:t xml:space="preserve">Backup media that is reused, or no longer used or needed, must be destroyed in accordance with applicable media sanitation procedures. </w:t>
      </w:r>
    </w:p>
    <w:p w14:paraId="59C1DBC9" w14:textId="77777777" w:rsidR="005754CE" w:rsidRPr="005754CE" w:rsidRDefault="005754CE" w:rsidP="005754CE">
      <w:pPr>
        <w:rPr>
          <w:b/>
          <w:sz w:val="26"/>
          <w:szCs w:val="26"/>
        </w:rPr>
      </w:pPr>
      <w:bookmarkStart w:id="2" w:name="_Toc347225724"/>
      <w:bookmarkStart w:id="3" w:name="_Toc433636229"/>
      <w:r w:rsidRPr="005754CE">
        <w:rPr>
          <w:b/>
          <w:sz w:val="26"/>
          <w:szCs w:val="26"/>
        </w:rPr>
        <w:t>Media Transport</w:t>
      </w:r>
      <w:bookmarkEnd w:id="2"/>
      <w:bookmarkEnd w:id="3"/>
    </w:p>
    <w:p w14:paraId="7D199B56" w14:textId="77777777" w:rsidR="005754CE" w:rsidRPr="00F84569" w:rsidRDefault="005754CE" w:rsidP="00F45F58">
      <w:pPr>
        <w:pStyle w:val="ListParagraph"/>
        <w:numPr>
          <w:ilvl w:val="0"/>
          <w:numId w:val="7"/>
        </w:numPr>
        <w:spacing w:after="200" w:line="276" w:lineRule="auto"/>
        <w:rPr>
          <w:rFonts w:eastAsia="Times New Roman" w:cs="Times New Roman"/>
          <w:sz w:val="20"/>
          <w:szCs w:val="22"/>
        </w:rPr>
      </w:pPr>
      <w:r w:rsidRPr="00F84569">
        <w:rPr>
          <w:rFonts w:eastAsia="Times New Roman" w:cs="Times New Roman"/>
          <w:sz w:val="20"/>
          <w:szCs w:val="22"/>
        </w:rPr>
        <w:t>Digital Media containing Sensitive information shall be protected and controlled during transport.</w:t>
      </w:r>
    </w:p>
    <w:p w14:paraId="5A6932F8" w14:textId="77777777" w:rsidR="005754CE" w:rsidRPr="00F84569" w:rsidRDefault="005754CE" w:rsidP="00F45F58">
      <w:pPr>
        <w:pStyle w:val="ListParagraph"/>
        <w:numPr>
          <w:ilvl w:val="0"/>
          <w:numId w:val="7"/>
        </w:numPr>
        <w:spacing w:after="200" w:line="276" w:lineRule="auto"/>
        <w:rPr>
          <w:rFonts w:eastAsia="Times New Roman" w:cs="Times New Roman"/>
          <w:sz w:val="20"/>
          <w:szCs w:val="22"/>
        </w:rPr>
      </w:pPr>
      <w:r w:rsidRPr="00F84569">
        <w:rPr>
          <w:rFonts w:eastAsia="Times New Roman" w:cs="Times New Roman"/>
          <w:sz w:val="20"/>
          <w:szCs w:val="22"/>
        </w:rPr>
        <w:t>Only authorized personnel may transport Digital Media containing Sensitive information.</w:t>
      </w:r>
    </w:p>
    <w:p w14:paraId="10D53055" w14:textId="77777777" w:rsidR="005754CE" w:rsidRPr="00F84569" w:rsidRDefault="005754CE" w:rsidP="00F45F58">
      <w:pPr>
        <w:pStyle w:val="ListParagraph"/>
        <w:numPr>
          <w:ilvl w:val="0"/>
          <w:numId w:val="7"/>
        </w:numPr>
        <w:spacing w:after="200" w:line="276" w:lineRule="auto"/>
        <w:rPr>
          <w:rFonts w:eastAsia="Times New Roman" w:cs="Times New Roman"/>
          <w:sz w:val="20"/>
          <w:szCs w:val="22"/>
        </w:rPr>
      </w:pPr>
      <w:r w:rsidRPr="00F84569">
        <w:rPr>
          <w:rFonts w:eastAsia="Times New Roman" w:cs="Times New Roman"/>
          <w:sz w:val="20"/>
          <w:szCs w:val="22"/>
        </w:rPr>
        <w:t>All activities surrounding the transport process shall be documented.</w:t>
      </w:r>
    </w:p>
    <w:p w14:paraId="5DABF75B" w14:textId="77777777" w:rsidR="005754CE" w:rsidRPr="005754CE" w:rsidRDefault="005754CE" w:rsidP="005754CE">
      <w:pPr>
        <w:rPr>
          <w:b/>
          <w:sz w:val="26"/>
          <w:szCs w:val="26"/>
        </w:rPr>
      </w:pPr>
      <w:bookmarkStart w:id="4" w:name="_Toc347225725"/>
      <w:bookmarkStart w:id="5" w:name="_Toc433636230"/>
      <w:r w:rsidRPr="005754CE">
        <w:rPr>
          <w:b/>
          <w:sz w:val="26"/>
          <w:szCs w:val="26"/>
        </w:rPr>
        <w:t>Media Sanitation</w:t>
      </w:r>
      <w:bookmarkEnd w:id="4"/>
      <w:bookmarkEnd w:id="5"/>
    </w:p>
    <w:p w14:paraId="293D4D07" w14:textId="77777777" w:rsidR="005754CE" w:rsidRPr="00F84569" w:rsidRDefault="005754CE" w:rsidP="00F45F58">
      <w:pPr>
        <w:pStyle w:val="ListParagraph"/>
        <w:numPr>
          <w:ilvl w:val="0"/>
          <w:numId w:val="6"/>
        </w:numPr>
        <w:spacing w:after="200" w:line="276" w:lineRule="auto"/>
        <w:rPr>
          <w:rFonts w:eastAsia="Times New Roman" w:cs="Times New Roman"/>
          <w:sz w:val="20"/>
          <w:szCs w:val="22"/>
        </w:rPr>
      </w:pPr>
      <w:r w:rsidRPr="00F84569">
        <w:rPr>
          <w:rFonts w:eastAsia="Times New Roman" w:cs="Times New Roman"/>
          <w:sz w:val="20"/>
          <w:szCs w:val="22"/>
        </w:rPr>
        <w:t xml:space="preserve">Digital Media shall be sanitized prior to disposal or re-use by utilizing industry accepted sanitization techniques. </w:t>
      </w:r>
    </w:p>
    <w:p w14:paraId="2FC0DFC2" w14:textId="77777777" w:rsidR="005754CE" w:rsidRPr="00F84569" w:rsidRDefault="005754CE" w:rsidP="00F45F58">
      <w:pPr>
        <w:pStyle w:val="ListParagraph"/>
        <w:numPr>
          <w:ilvl w:val="0"/>
          <w:numId w:val="6"/>
        </w:numPr>
        <w:spacing w:after="200" w:line="276" w:lineRule="auto"/>
        <w:rPr>
          <w:rFonts w:eastAsia="Times New Roman" w:cs="Times New Roman"/>
          <w:sz w:val="20"/>
          <w:szCs w:val="22"/>
        </w:rPr>
      </w:pPr>
      <w:r w:rsidRPr="00F84569">
        <w:rPr>
          <w:rFonts w:eastAsia="Times New Roman" w:cs="Times New Roman"/>
          <w:sz w:val="20"/>
          <w:szCs w:val="22"/>
        </w:rPr>
        <w:t>Records shall be maintained that track and document sanitization and disposal actions.</w:t>
      </w:r>
    </w:p>
    <w:p w14:paraId="1554E3A1" w14:textId="77777777" w:rsidR="005754CE" w:rsidRPr="005754CE" w:rsidRDefault="005754CE" w:rsidP="005754CE">
      <w:pPr>
        <w:rPr>
          <w:b/>
          <w:sz w:val="26"/>
          <w:szCs w:val="26"/>
        </w:rPr>
      </w:pPr>
      <w:bookmarkStart w:id="6" w:name="_Toc433636231"/>
      <w:r w:rsidRPr="005754CE">
        <w:rPr>
          <w:b/>
          <w:sz w:val="26"/>
          <w:szCs w:val="26"/>
        </w:rPr>
        <w:t>Review and Revision</w:t>
      </w:r>
      <w:bookmarkEnd w:id="6"/>
    </w:p>
    <w:p w14:paraId="5F2373D0" w14:textId="6D9FCCD5" w:rsidR="00531705" w:rsidRPr="005754CE" w:rsidRDefault="005754CE" w:rsidP="00F45F58">
      <w:pPr>
        <w:pStyle w:val="ListParagraph"/>
        <w:numPr>
          <w:ilvl w:val="0"/>
          <w:numId w:val="5"/>
        </w:numPr>
        <w:spacing w:after="200" w:line="276" w:lineRule="auto"/>
        <w:rPr>
          <w:b/>
          <w:sz w:val="26"/>
          <w:szCs w:val="26"/>
        </w:rPr>
      </w:pPr>
      <w:r w:rsidRPr="005754CE">
        <w:rPr>
          <w:rFonts w:eastAsia="Times New Roman" w:cs="Times New Roman"/>
          <w:sz w:val="20"/>
          <w:szCs w:val="22"/>
        </w:rPr>
        <w:t>Media Protection controls and procedures shall be periodically reviewed for appropriateness and effectiveness.</w:t>
      </w:r>
    </w:p>
    <w:p w14:paraId="7B7D73AB" w14:textId="77777777" w:rsidR="00881786" w:rsidRDefault="00881786" w:rsidP="00881786">
      <w:pPr>
        <w:rPr>
          <w:b/>
          <w:sz w:val="26"/>
          <w:szCs w:val="26"/>
        </w:rPr>
      </w:pPr>
    </w:p>
    <w:p w14:paraId="5F86F119" w14:textId="14221B49" w:rsidR="00BD5FA3" w:rsidRPr="00881786" w:rsidRDefault="0018167F" w:rsidP="00881786">
      <w:pPr>
        <w:rPr>
          <w:b/>
          <w:sz w:val="26"/>
          <w:szCs w:val="26"/>
        </w:rPr>
      </w:pPr>
      <w:r w:rsidRPr="00881786">
        <w:rPr>
          <w:b/>
          <w:sz w:val="26"/>
          <w:szCs w:val="26"/>
        </w:rPr>
        <w:t>Enforcement &amp; Exception Handling</w:t>
      </w:r>
    </w:p>
    <w:p w14:paraId="5577ED3E" w14:textId="77777777" w:rsidR="005460C2" w:rsidRPr="005460C2" w:rsidRDefault="005460C2" w:rsidP="005460C2">
      <w:pPr>
        <w:pStyle w:val="NoSpacing"/>
        <w:rPr>
          <w:rFonts w:ascii="Verdana" w:eastAsia="Times New Roman" w:hAnsi="Verdana" w:cs="Times New Roman"/>
          <w:sz w:val="20"/>
          <w:szCs w:val="22"/>
        </w:rPr>
      </w:pPr>
      <w:r w:rsidRPr="005460C2">
        <w:rPr>
          <w:rFonts w:ascii="Verdana" w:eastAsia="Times New Roman" w:hAnsi="Verdana" w:cs="Times New Roman"/>
          <w:sz w:val="20"/>
          <w:szCs w:val="22"/>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74D5405B" w14:textId="77777777" w:rsidR="005460C2" w:rsidRPr="005460C2" w:rsidRDefault="005460C2" w:rsidP="005460C2">
      <w:pPr>
        <w:pStyle w:val="NoSpacing"/>
        <w:ind w:left="360"/>
        <w:rPr>
          <w:rFonts w:ascii="Verdana" w:eastAsia="Times New Roman" w:hAnsi="Verdana" w:cs="Times New Roman"/>
          <w:sz w:val="20"/>
          <w:szCs w:val="22"/>
        </w:rPr>
      </w:pPr>
    </w:p>
    <w:p w14:paraId="3412E549" w14:textId="77777777" w:rsidR="005460C2" w:rsidRPr="005460C2" w:rsidRDefault="005460C2" w:rsidP="005460C2">
      <w:pPr>
        <w:pStyle w:val="NoSpacing"/>
        <w:rPr>
          <w:rFonts w:ascii="Verdana" w:eastAsia="Times New Roman" w:hAnsi="Verdana" w:cs="Times New Roman"/>
          <w:sz w:val="20"/>
          <w:szCs w:val="22"/>
        </w:rPr>
      </w:pPr>
      <w:r w:rsidRPr="005460C2">
        <w:rPr>
          <w:rFonts w:ascii="Verdana" w:eastAsia="Times New Roman" w:hAnsi="Verdana" w:cs="Times New Roman"/>
          <w:sz w:val="20"/>
          <w:szCs w:val="22"/>
        </w:rPr>
        <w:t>Request for exceptions to this policy must be submitted in writing.  Prior to official approval of any exception, this policy must continue to be observed.</w:t>
      </w:r>
    </w:p>
    <w:p w14:paraId="56F246C1" w14:textId="77777777" w:rsidR="005460C2" w:rsidRPr="005460C2" w:rsidRDefault="005460C2" w:rsidP="00881786">
      <w:pPr>
        <w:rPr>
          <w:rFonts w:eastAsia="Times New Roman" w:cs="Times New Roman"/>
          <w:sz w:val="20"/>
          <w:szCs w:val="22"/>
        </w:rPr>
      </w:pPr>
    </w:p>
    <w:p w14:paraId="42890265" w14:textId="43BD79B1"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45A77FF7" w14:textId="72AAD1B5" w:rsidR="005754CE" w:rsidRPr="00394AE6" w:rsidRDefault="005754CE" w:rsidP="005754CE">
      <w:pPr>
        <w:spacing w:after="200" w:line="276" w:lineRule="auto"/>
        <w:rPr>
          <w:rFonts w:eastAsia="Times New Roman" w:cs="Times New Roman"/>
          <w:b/>
          <w:sz w:val="20"/>
          <w:szCs w:val="22"/>
          <w:u w:val="single"/>
        </w:rPr>
      </w:pPr>
      <w:r w:rsidRPr="00394AE6">
        <w:rPr>
          <w:rFonts w:eastAsia="Times New Roman" w:cs="Times New Roman"/>
          <w:b/>
          <w:sz w:val="20"/>
          <w:szCs w:val="22"/>
          <w:u w:val="single"/>
        </w:rPr>
        <w:lastRenderedPageBreak/>
        <w:t>Digital Media</w:t>
      </w:r>
      <w:r w:rsidRPr="00394AE6">
        <w:rPr>
          <w:rFonts w:eastAsia="Times New Roman" w:cs="Times New Roman"/>
          <w:b/>
          <w:sz w:val="20"/>
          <w:szCs w:val="22"/>
        </w:rPr>
        <w:t xml:space="preserve"> </w:t>
      </w:r>
      <w:r w:rsidRPr="00394AE6">
        <w:rPr>
          <w:rFonts w:eastAsia="Times New Roman" w:cs="Times New Roman"/>
          <w:sz w:val="20"/>
          <w:szCs w:val="22"/>
        </w:rPr>
        <w:t>–</w:t>
      </w:r>
      <w:r w:rsidRPr="00394AE6">
        <w:rPr>
          <w:rFonts w:eastAsia="Times New Roman" w:cs="Times New Roman"/>
          <w:b/>
          <w:sz w:val="20"/>
          <w:szCs w:val="22"/>
        </w:rPr>
        <w:t xml:space="preserve"> </w:t>
      </w:r>
      <w:r w:rsidRPr="00394AE6">
        <w:rPr>
          <w:rFonts w:eastAsia="Times New Roman" w:cs="Times New Roman"/>
          <w:sz w:val="20"/>
          <w:szCs w:val="22"/>
        </w:rPr>
        <w:t>Means</w:t>
      </w:r>
      <w:r w:rsidRPr="00394AE6">
        <w:rPr>
          <w:rFonts w:eastAsia="Times New Roman" w:cs="Times New Roman"/>
          <w:b/>
          <w:sz w:val="20"/>
          <w:szCs w:val="22"/>
        </w:rPr>
        <w:t xml:space="preserve"> </w:t>
      </w:r>
      <w:r w:rsidRPr="00394AE6">
        <w:rPr>
          <w:rFonts w:eastAsia="Times New Roman" w:cs="Times New Roman"/>
          <w:sz w:val="20"/>
          <w:szCs w:val="22"/>
        </w:rPr>
        <w:t>any physical electronic media used to store information in a machine readable format (ex. hard drives, random access memory, read only memory, tapes, CD’s, network equipment,</w:t>
      </w:r>
      <w:r w:rsidR="004A506C">
        <w:rPr>
          <w:rFonts w:eastAsia="Times New Roman" w:cs="Times New Roman"/>
          <w:sz w:val="20"/>
          <w:szCs w:val="22"/>
        </w:rPr>
        <w:t xml:space="preserve"> solid state drives,</w:t>
      </w:r>
      <w:r w:rsidRPr="00394AE6">
        <w:rPr>
          <w:rFonts w:eastAsia="Times New Roman" w:cs="Times New Roman"/>
          <w:sz w:val="20"/>
          <w:szCs w:val="22"/>
        </w:rPr>
        <w:t xml:space="preserve"> etc.)</w:t>
      </w:r>
    </w:p>
    <w:p w14:paraId="45E5049E" w14:textId="77777777" w:rsidR="005754CE" w:rsidRPr="00394AE6" w:rsidRDefault="005754CE" w:rsidP="005754CE">
      <w:pPr>
        <w:spacing w:after="200" w:line="276" w:lineRule="auto"/>
        <w:rPr>
          <w:rFonts w:eastAsia="Times New Roman" w:cs="Times New Roman"/>
          <w:sz w:val="20"/>
          <w:szCs w:val="22"/>
        </w:rPr>
      </w:pPr>
      <w:r w:rsidRPr="00394AE6">
        <w:rPr>
          <w:rFonts w:eastAsia="Times New Roman" w:cs="Times New Roman"/>
          <w:b/>
          <w:sz w:val="20"/>
          <w:szCs w:val="22"/>
          <w:u w:val="single"/>
        </w:rPr>
        <w:t>Portable Digital Media</w:t>
      </w:r>
      <w:r w:rsidRPr="00394AE6">
        <w:rPr>
          <w:rFonts w:eastAsia="Times New Roman" w:cs="Times New Roman"/>
          <w:b/>
          <w:sz w:val="20"/>
          <w:szCs w:val="22"/>
        </w:rPr>
        <w:t xml:space="preserve"> – </w:t>
      </w:r>
      <w:r w:rsidRPr="00394AE6">
        <w:rPr>
          <w:rFonts w:eastAsia="Times New Roman" w:cs="Times New Roman"/>
          <w:sz w:val="20"/>
          <w:szCs w:val="22"/>
        </w:rPr>
        <w:t>Digital Media capable of storing information that can be used to transport information including external or removable hard drives, USB storage devices, CDs, DVDs and mobile computing devices capable of storing information including laptops, tablets, and smartphones.</w:t>
      </w:r>
    </w:p>
    <w:p w14:paraId="7DEEEBB9" w14:textId="1240231C" w:rsidR="005754CE" w:rsidRPr="00C3338E" w:rsidRDefault="005754CE" w:rsidP="005754CE">
      <w:pPr>
        <w:spacing w:after="200" w:line="276" w:lineRule="auto"/>
        <w:rPr>
          <w:rFonts w:eastAsia="Times New Roman" w:cs="Times New Roman"/>
          <w:sz w:val="20"/>
          <w:szCs w:val="22"/>
        </w:rPr>
      </w:pPr>
      <w:r w:rsidRPr="00394AE6">
        <w:rPr>
          <w:rFonts w:eastAsia="Times New Roman" w:cs="Times New Roman"/>
          <w:b/>
          <w:sz w:val="20"/>
          <w:szCs w:val="22"/>
          <w:u w:val="single"/>
        </w:rPr>
        <w:t>Workforce Member</w:t>
      </w:r>
      <w:r w:rsidRPr="00394AE6">
        <w:rPr>
          <w:rFonts w:eastAsia="Times New Roman" w:cs="Times New Roman"/>
          <w:b/>
          <w:sz w:val="20"/>
          <w:szCs w:val="22"/>
        </w:rPr>
        <w:t xml:space="preserve"> </w:t>
      </w:r>
      <w:r w:rsidRPr="00394AE6">
        <w:rPr>
          <w:rFonts w:eastAsia="Times New Roman" w:cs="Times New Roman"/>
          <w:sz w:val="20"/>
          <w:szCs w:val="22"/>
        </w:rPr>
        <w:t>-</w:t>
      </w:r>
      <w:r w:rsidRPr="00394AE6">
        <w:rPr>
          <w:rFonts w:eastAsia="Times New Roman" w:cs="Times New Roman"/>
          <w:b/>
          <w:sz w:val="20"/>
          <w:szCs w:val="22"/>
        </w:rPr>
        <w:t xml:space="preserve"> </w:t>
      </w:r>
      <w:r w:rsidRPr="00394AE6">
        <w:rPr>
          <w:rFonts w:eastAsia="Times New Roman" w:cs="Times New Roman"/>
          <w:sz w:val="20"/>
          <w:szCs w:val="22"/>
        </w:rPr>
        <w:t xml:space="preserve">Means employees and other persons whose conduct, in the performance of work, are under the direct control of </w:t>
      </w:r>
      <w:r w:rsidR="004A506C">
        <w:rPr>
          <w:rFonts w:eastAsia="Times New Roman" w:cs="Times New Roman"/>
          <w:sz w:val="20"/>
          <w:szCs w:val="22"/>
        </w:rPr>
        <w:t>Sun Health</w:t>
      </w:r>
      <w:r w:rsidRPr="00394AE6">
        <w:rPr>
          <w:rFonts w:eastAsia="Times New Roman" w:cs="Times New Roman"/>
          <w:sz w:val="20"/>
          <w:szCs w:val="22"/>
        </w:rPr>
        <w:t xml:space="preserve">, whether or not they are paid by </w:t>
      </w:r>
      <w:r w:rsidR="004A506C">
        <w:rPr>
          <w:rFonts w:eastAsia="Times New Roman" w:cs="Times New Roman"/>
          <w:sz w:val="20"/>
          <w:szCs w:val="22"/>
        </w:rPr>
        <w:t>Sun Health</w:t>
      </w:r>
      <w:r w:rsidRPr="00394AE6">
        <w:rPr>
          <w:rFonts w:eastAsia="Times New Roman" w:cs="Times New Roman"/>
          <w:sz w:val="20"/>
          <w:szCs w:val="22"/>
        </w:rPr>
        <w:t xml:space="preserve">.  This includes full and part time employees, contractors, affiliates, associates, students, and volunteers.  </w:t>
      </w:r>
    </w:p>
    <w:p w14:paraId="3F56D88D" w14:textId="77777777" w:rsidR="005754CE" w:rsidRDefault="005754CE">
      <w:pPr>
        <w:rPr>
          <w:b/>
          <w:sz w:val="26"/>
          <w:szCs w:val="26"/>
        </w:rPr>
      </w:pPr>
      <w:r>
        <w:rPr>
          <w:b/>
          <w:sz w:val="26"/>
          <w:szCs w:val="26"/>
        </w:rPr>
        <w:br w:type="page"/>
      </w:r>
    </w:p>
    <w:p w14:paraId="344030EE" w14:textId="77241C19" w:rsidR="005067CD" w:rsidRPr="00881786" w:rsidRDefault="0018167F" w:rsidP="00881786">
      <w:pPr>
        <w:rPr>
          <w:b/>
          <w:sz w:val="26"/>
          <w:szCs w:val="26"/>
        </w:rPr>
      </w:pPr>
      <w:r w:rsidRPr="00881786">
        <w:rPr>
          <w:b/>
          <w:sz w:val="26"/>
          <w:szCs w:val="26"/>
        </w:rPr>
        <w:lastRenderedPageBreak/>
        <w:t>Distribution</w:t>
      </w:r>
    </w:p>
    <w:p w14:paraId="4A0DC9E1" w14:textId="3A5CFCD7" w:rsidR="005460C2" w:rsidRPr="0047789B" w:rsidRDefault="005460C2" w:rsidP="005460C2">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E06C24">
        <w:rPr>
          <w:sz w:val="20"/>
        </w:rPr>
        <w:t>HIPAA Security Officer</w:t>
      </w:r>
      <w:r w:rsidRPr="0047789B">
        <w:rPr>
          <w:sz w:val="20"/>
        </w:rPr>
        <w:t>.  If no questions or problems are stated, it will be assumed that the policy has been read and understood</w:t>
      </w:r>
      <w:r>
        <w:rPr>
          <w:sz w:val="20"/>
        </w:rPr>
        <w:t>.</w:t>
      </w:r>
    </w:p>
    <w:p w14:paraId="16F0A773" w14:textId="77777777" w:rsidR="005460C2" w:rsidRDefault="005460C2" w:rsidP="00881786">
      <w:pPr>
        <w:rPr>
          <w:b/>
          <w:sz w:val="26"/>
          <w:szCs w:val="26"/>
        </w:rPr>
      </w:pPr>
    </w:p>
    <w:p w14:paraId="0924F37E" w14:textId="2CAA28EC" w:rsidR="00907DB8" w:rsidRDefault="00907DB8" w:rsidP="00881786">
      <w:pPr>
        <w:rPr>
          <w:b/>
          <w:sz w:val="26"/>
          <w:szCs w:val="26"/>
        </w:rPr>
      </w:pPr>
      <w:r w:rsidRPr="00881786">
        <w:rPr>
          <w:b/>
          <w:sz w:val="26"/>
          <w:szCs w:val="26"/>
        </w:rPr>
        <w:t>Applicable Regulations</w:t>
      </w:r>
    </w:p>
    <w:tbl>
      <w:tblPr>
        <w:tblStyle w:val="TableGrid"/>
        <w:tblW w:w="10183" w:type="dxa"/>
        <w:tblLook w:val="04A0" w:firstRow="1" w:lastRow="0" w:firstColumn="1" w:lastColumn="0" w:noHBand="0" w:noVBand="1"/>
      </w:tblPr>
      <w:tblGrid>
        <w:gridCol w:w="3505"/>
        <w:gridCol w:w="6678"/>
      </w:tblGrid>
      <w:tr w:rsidR="00B75456" w:rsidRPr="00ED59D3" w14:paraId="3A55AC51" w14:textId="77777777" w:rsidTr="007216DC">
        <w:trPr>
          <w:trHeight w:val="288"/>
        </w:trPr>
        <w:tc>
          <w:tcPr>
            <w:tcW w:w="3505" w:type="dxa"/>
          </w:tcPr>
          <w:p w14:paraId="763759A9" w14:textId="77777777" w:rsidR="00B75456" w:rsidRPr="00B75456" w:rsidRDefault="00B75456" w:rsidP="007216DC">
            <w:pPr>
              <w:rPr>
                <w:rFonts w:cs="Arial"/>
                <w:b/>
                <w:sz w:val="20"/>
                <w:szCs w:val="20"/>
              </w:rPr>
            </w:pPr>
            <w:r w:rsidRPr="00B75456">
              <w:rPr>
                <w:rFonts w:cs="Arial"/>
                <w:b/>
                <w:sz w:val="20"/>
                <w:szCs w:val="20"/>
              </w:rPr>
              <w:t>HIPAA Security Rule</w:t>
            </w:r>
          </w:p>
        </w:tc>
        <w:tc>
          <w:tcPr>
            <w:tcW w:w="6678" w:type="dxa"/>
          </w:tcPr>
          <w:p w14:paraId="4477932B" w14:textId="77777777" w:rsidR="00B75456" w:rsidRPr="00B75456" w:rsidRDefault="00B75456" w:rsidP="007216DC">
            <w:pPr>
              <w:rPr>
                <w:rFonts w:cs="Arial"/>
                <w:b/>
                <w:sz w:val="20"/>
                <w:szCs w:val="20"/>
              </w:rPr>
            </w:pPr>
            <w:r w:rsidRPr="00B75456">
              <w:rPr>
                <w:rFonts w:cs="Arial"/>
                <w:b/>
                <w:sz w:val="20"/>
                <w:szCs w:val="20"/>
              </w:rPr>
              <w:t>45 CFR Part 160 and Subparts A and C of Part 164 </w:t>
            </w:r>
          </w:p>
        </w:tc>
      </w:tr>
      <w:tr w:rsidR="00B75456" w:rsidRPr="00ED59D3" w14:paraId="7E163746" w14:textId="77777777" w:rsidTr="007216DC">
        <w:trPr>
          <w:trHeight w:val="288"/>
        </w:trPr>
        <w:tc>
          <w:tcPr>
            <w:tcW w:w="3505" w:type="dxa"/>
          </w:tcPr>
          <w:p w14:paraId="03C07526" w14:textId="77777777" w:rsidR="00B75456" w:rsidRPr="00B75456" w:rsidRDefault="00B75456" w:rsidP="007216DC">
            <w:pPr>
              <w:rPr>
                <w:rFonts w:cs="Arial"/>
                <w:sz w:val="20"/>
                <w:szCs w:val="20"/>
              </w:rPr>
            </w:pPr>
            <w:r w:rsidRPr="00B75456">
              <w:rPr>
                <w:rFonts w:cs="Arial"/>
                <w:sz w:val="20"/>
                <w:szCs w:val="20"/>
              </w:rPr>
              <w:t>Authorization and/or Supervision</w:t>
            </w:r>
          </w:p>
        </w:tc>
        <w:tc>
          <w:tcPr>
            <w:tcW w:w="6678" w:type="dxa"/>
          </w:tcPr>
          <w:p w14:paraId="095ADE7E" w14:textId="77777777" w:rsidR="00B75456" w:rsidRPr="00B75456" w:rsidRDefault="00B75456" w:rsidP="007216DC">
            <w:pPr>
              <w:rPr>
                <w:rFonts w:cs="Arial"/>
                <w:sz w:val="20"/>
                <w:szCs w:val="20"/>
              </w:rPr>
            </w:pPr>
            <w:r w:rsidRPr="00B75456">
              <w:rPr>
                <w:rFonts w:cs="Arial"/>
                <w:sz w:val="20"/>
                <w:szCs w:val="20"/>
              </w:rPr>
              <w:t>§45 CFR 164.308(a)(3)(ii)(A)</w:t>
            </w:r>
          </w:p>
        </w:tc>
      </w:tr>
      <w:tr w:rsidR="00B75456" w:rsidRPr="00ED59D3" w14:paraId="51DCA8F9" w14:textId="77777777" w:rsidTr="007216DC">
        <w:trPr>
          <w:trHeight w:val="288"/>
        </w:trPr>
        <w:tc>
          <w:tcPr>
            <w:tcW w:w="3505" w:type="dxa"/>
          </w:tcPr>
          <w:p w14:paraId="35537EC7" w14:textId="77777777" w:rsidR="00B75456" w:rsidRPr="00B75456" w:rsidRDefault="00B75456" w:rsidP="007216DC">
            <w:pPr>
              <w:rPr>
                <w:rFonts w:cs="Arial"/>
                <w:sz w:val="20"/>
                <w:szCs w:val="20"/>
              </w:rPr>
            </w:pPr>
            <w:r w:rsidRPr="00B75456">
              <w:rPr>
                <w:rFonts w:cs="Arial"/>
                <w:sz w:val="20"/>
                <w:szCs w:val="20"/>
              </w:rPr>
              <w:t>Workstation Security</w:t>
            </w:r>
          </w:p>
        </w:tc>
        <w:tc>
          <w:tcPr>
            <w:tcW w:w="6678" w:type="dxa"/>
          </w:tcPr>
          <w:p w14:paraId="5F3365FE"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bCs/>
                <w:color w:val="000000"/>
                <w:sz w:val="20"/>
                <w:szCs w:val="20"/>
              </w:rPr>
              <w:t>45 CFR 164.310(c)</w:t>
            </w:r>
          </w:p>
        </w:tc>
      </w:tr>
      <w:tr w:rsidR="00B75456" w:rsidRPr="00ED59D3" w14:paraId="5FB7E0AD" w14:textId="77777777" w:rsidTr="007216DC">
        <w:trPr>
          <w:trHeight w:val="288"/>
        </w:trPr>
        <w:tc>
          <w:tcPr>
            <w:tcW w:w="3505" w:type="dxa"/>
          </w:tcPr>
          <w:p w14:paraId="194B4149" w14:textId="77777777" w:rsidR="00B75456" w:rsidRPr="00B75456" w:rsidRDefault="00B75456" w:rsidP="007216DC">
            <w:pPr>
              <w:rPr>
                <w:rFonts w:cs="Arial"/>
                <w:sz w:val="20"/>
                <w:szCs w:val="20"/>
              </w:rPr>
            </w:pPr>
            <w:r w:rsidRPr="00B75456">
              <w:rPr>
                <w:rFonts w:cs="Arial"/>
                <w:sz w:val="20"/>
                <w:szCs w:val="20"/>
              </w:rPr>
              <w:t>Device and Media Controls</w:t>
            </w:r>
          </w:p>
        </w:tc>
        <w:tc>
          <w:tcPr>
            <w:tcW w:w="6678" w:type="dxa"/>
            <w:vAlign w:val="center"/>
          </w:tcPr>
          <w:p w14:paraId="7714456A"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bCs/>
                <w:color w:val="000000"/>
                <w:sz w:val="20"/>
                <w:szCs w:val="20"/>
              </w:rPr>
              <w:t>45 CFR 164.310(d)(1)</w:t>
            </w:r>
          </w:p>
        </w:tc>
      </w:tr>
      <w:tr w:rsidR="00B75456" w:rsidRPr="00ED59D3" w14:paraId="7ABC048A" w14:textId="77777777" w:rsidTr="007216DC">
        <w:trPr>
          <w:trHeight w:val="288"/>
        </w:trPr>
        <w:tc>
          <w:tcPr>
            <w:tcW w:w="3505" w:type="dxa"/>
          </w:tcPr>
          <w:p w14:paraId="2C333FB7" w14:textId="77777777" w:rsidR="00B75456" w:rsidRPr="00B75456" w:rsidRDefault="00B75456" w:rsidP="007216DC">
            <w:pPr>
              <w:tabs>
                <w:tab w:val="left" w:pos="1046"/>
              </w:tabs>
              <w:rPr>
                <w:rFonts w:cs="Arial"/>
                <w:sz w:val="20"/>
                <w:szCs w:val="20"/>
              </w:rPr>
            </w:pPr>
            <w:r w:rsidRPr="00B75456">
              <w:rPr>
                <w:rFonts w:cs="Arial"/>
                <w:sz w:val="20"/>
                <w:szCs w:val="20"/>
              </w:rPr>
              <w:t>Disposal</w:t>
            </w:r>
            <w:r w:rsidRPr="00B75456">
              <w:rPr>
                <w:rFonts w:cs="Arial"/>
                <w:sz w:val="20"/>
                <w:szCs w:val="20"/>
              </w:rPr>
              <w:tab/>
            </w:r>
          </w:p>
        </w:tc>
        <w:tc>
          <w:tcPr>
            <w:tcW w:w="6678" w:type="dxa"/>
          </w:tcPr>
          <w:p w14:paraId="4520146A"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color w:val="000000"/>
                <w:sz w:val="20"/>
                <w:szCs w:val="20"/>
              </w:rPr>
              <w:t>45 CFR 164.310(d)(2)(i)</w:t>
            </w:r>
          </w:p>
        </w:tc>
      </w:tr>
      <w:tr w:rsidR="00B75456" w:rsidRPr="00ED59D3" w14:paraId="4A31106F" w14:textId="77777777" w:rsidTr="007216DC">
        <w:trPr>
          <w:trHeight w:val="288"/>
        </w:trPr>
        <w:tc>
          <w:tcPr>
            <w:tcW w:w="3505" w:type="dxa"/>
          </w:tcPr>
          <w:p w14:paraId="1A0720C4" w14:textId="77777777" w:rsidR="00B75456" w:rsidRPr="00B75456" w:rsidRDefault="00B75456" w:rsidP="007216DC">
            <w:pPr>
              <w:rPr>
                <w:rFonts w:cs="Arial"/>
                <w:sz w:val="20"/>
                <w:szCs w:val="20"/>
              </w:rPr>
            </w:pPr>
            <w:r w:rsidRPr="00B75456">
              <w:rPr>
                <w:rFonts w:cs="Arial"/>
                <w:sz w:val="20"/>
                <w:szCs w:val="20"/>
              </w:rPr>
              <w:t>Media Re-Use</w:t>
            </w:r>
          </w:p>
        </w:tc>
        <w:tc>
          <w:tcPr>
            <w:tcW w:w="6678" w:type="dxa"/>
          </w:tcPr>
          <w:p w14:paraId="1E80B1C8"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color w:val="000000"/>
                <w:sz w:val="20"/>
                <w:szCs w:val="20"/>
              </w:rPr>
              <w:t>45 CFR 164.310(d)(2)(ii)</w:t>
            </w:r>
          </w:p>
        </w:tc>
      </w:tr>
      <w:tr w:rsidR="00B75456" w:rsidRPr="00ED59D3" w14:paraId="7C801852" w14:textId="77777777" w:rsidTr="007216DC">
        <w:trPr>
          <w:trHeight w:val="288"/>
        </w:trPr>
        <w:tc>
          <w:tcPr>
            <w:tcW w:w="3505" w:type="dxa"/>
          </w:tcPr>
          <w:p w14:paraId="575056CD" w14:textId="77777777" w:rsidR="00B75456" w:rsidRPr="00B75456" w:rsidRDefault="00B75456" w:rsidP="007216DC">
            <w:pPr>
              <w:rPr>
                <w:rFonts w:cs="Arial"/>
                <w:sz w:val="20"/>
                <w:szCs w:val="20"/>
              </w:rPr>
            </w:pPr>
            <w:r w:rsidRPr="00B75456">
              <w:rPr>
                <w:rFonts w:cs="Arial"/>
                <w:sz w:val="20"/>
                <w:szCs w:val="20"/>
              </w:rPr>
              <w:t>Accountability</w:t>
            </w:r>
          </w:p>
        </w:tc>
        <w:tc>
          <w:tcPr>
            <w:tcW w:w="6678" w:type="dxa"/>
          </w:tcPr>
          <w:p w14:paraId="401EE691"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color w:val="000000"/>
                <w:sz w:val="20"/>
                <w:szCs w:val="20"/>
              </w:rPr>
              <w:t>45 CFR 164.310(d)(2)(iii)</w:t>
            </w:r>
          </w:p>
        </w:tc>
      </w:tr>
      <w:tr w:rsidR="00B75456" w:rsidRPr="00ED59D3" w14:paraId="41EC2C58" w14:textId="77777777" w:rsidTr="007216DC">
        <w:trPr>
          <w:trHeight w:val="288"/>
        </w:trPr>
        <w:tc>
          <w:tcPr>
            <w:tcW w:w="3505" w:type="dxa"/>
          </w:tcPr>
          <w:p w14:paraId="59320536" w14:textId="77777777" w:rsidR="00B75456" w:rsidRPr="00B75456" w:rsidRDefault="00B75456" w:rsidP="007216DC">
            <w:pPr>
              <w:rPr>
                <w:rFonts w:cs="Arial"/>
                <w:sz w:val="20"/>
                <w:szCs w:val="20"/>
              </w:rPr>
            </w:pPr>
            <w:r w:rsidRPr="00B75456">
              <w:rPr>
                <w:rFonts w:cs="Arial"/>
                <w:sz w:val="20"/>
                <w:szCs w:val="20"/>
              </w:rPr>
              <w:t>Data backup and Storage</w:t>
            </w:r>
          </w:p>
        </w:tc>
        <w:tc>
          <w:tcPr>
            <w:tcW w:w="6678" w:type="dxa"/>
          </w:tcPr>
          <w:p w14:paraId="6EFED988"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color w:val="000000"/>
                <w:sz w:val="20"/>
                <w:szCs w:val="20"/>
              </w:rPr>
              <w:t>45 CFR 164.310(d)(2)(iv)</w:t>
            </w:r>
          </w:p>
        </w:tc>
      </w:tr>
      <w:tr w:rsidR="00B75456" w:rsidRPr="00ED59D3" w14:paraId="15BE14A7" w14:textId="77777777" w:rsidTr="007216DC">
        <w:trPr>
          <w:trHeight w:val="288"/>
        </w:trPr>
        <w:tc>
          <w:tcPr>
            <w:tcW w:w="3505" w:type="dxa"/>
          </w:tcPr>
          <w:p w14:paraId="1C6E0237" w14:textId="77777777" w:rsidR="00B75456" w:rsidRPr="00B75456" w:rsidRDefault="00B75456" w:rsidP="007216DC">
            <w:pPr>
              <w:rPr>
                <w:rFonts w:cs="Arial"/>
                <w:sz w:val="20"/>
                <w:szCs w:val="20"/>
              </w:rPr>
            </w:pPr>
            <w:r w:rsidRPr="00B75456">
              <w:rPr>
                <w:rFonts w:cs="Arial"/>
                <w:sz w:val="20"/>
                <w:szCs w:val="20"/>
              </w:rPr>
              <w:t>Integrity</w:t>
            </w:r>
          </w:p>
        </w:tc>
        <w:tc>
          <w:tcPr>
            <w:tcW w:w="6678" w:type="dxa"/>
          </w:tcPr>
          <w:p w14:paraId="4357AE14" w14:textId="77777777" w:rsidR="00B75456" w:rsidRPr="00B75456" w:rsidRDefault="00B75456" w:rsidP="007216DC">
            <w:pPr>
              <w:rPr>
                <w:rFonts w:cs="Arial"/>
                <w:sz w:val="20"/>
                <w:szCs w:val="20"/>
              </w:rPr>
            </w:pPr>
            <w:r w:rsidRPr="00B75456">
              <w:rPr>
                <w:rFonts w:cs="Arial"/>
                <w:sz w:val="20"/>
                <w:szCs w:val="20"/>
              </w:rPr>
              <w:t>§</w:t>
            </w:r>
            <w:r w:rsidRPr="00B75456">
              <w:rPr>
                <w:rFonts w:eastAsia="Times New Roman" w:cs="Arial"/>
                <w:bCs/>
                <w:color w:val="000000"/>
                <w:sz w:val="20"/>
                <w:szCs w:val="20"/>
              </w:rPr>
              <w:t>45 CFR 164.312(c)(1)</w:t>
            </w:r>
          </w:p>
        </w:tc>
      </w:tr>
      <w:tr w:rsidR="00B75456" w:rsidRPr="00ED59D3" w14:paraId="6A00CE21" w14:textId="77777777" w:rsidTr="007216DC">
        <w:trPr>
          <w:trHeight w:val="288"/>
        </w:trPr>
        <w:tc>
          <w:tcPr>
            <w:tcW w:w="3505" w:type="dxa"/>
          </w:tcPr>
          <w:p w14:paraId="382B06E9" w14:textId="77777777" w:rsidR="00B75456" w:rsidRPr="00B75456" w:rsidRDefault="00B75456" w:rsidP="007216DC">
            <w:pPr>
              <w:rPr>
                <w:rFonts w:cs="Arial"/>
                <w:sz w:val="20"/>
                <w:szCs w:val="20"/>
              </w:rPr>
            </w:pPr>
            <w:r w:rsidRPr="00B75456">
              <w:rPr>
                <w:rFonts w:cs="Arial"/>
                <w:sz w:val="20"/>
                <w:szCs w:val="20"/>
              </w:rPr>
              <w:t xml:space="preserve">Security Management Process     </w:t>
            </w:r>
          </w:p>
        </w:tc>
        <w:tc>
          <w:tcPr>
            <w:tcW w:w="6678" w:type="dxa"/>
          </w:tcPr>
          <w:p w14:paraId="65B4F3FB" w14:textId="77777777" w:rsidR="00B75456" w:rsidRPr="00B75456" w:rsidRDefault="00B75456" w:rsidP="007216DC">
            <w:pPr>
              <w:rPr>
                <w:rFonts w:cs="Arial"/>
                <w:sz w:val="20"/>
                <w:szCs w:val="20"/>
              </w:rPr>
            </w:pPr>
            <w:r w:rsidRPr="00B75456">
              <w:rPr>
                <w:rFonts w:cs="Arial"/>
                <w:sz w:val="20"/>
                <w:szCs w:val="20"/>
              </w:rPr>
              <w:t>§164.308(a)(1), §164.308(a)(1)(ii)(A), §164.308(a)(1)(ii)(B)</w:t>
            </w:r>
          </w:p>
        </w:tc>
      </w:tr>
      <w:tr w:rsidR="00B75456" w:rsidRPr="00ED59D3" w14:paraId="28AEFD50" w14:textId="77777777" w:rsidTr="007216DC">
        <w:trPr>
          <w:trHeight w:val="288"/>
        </w:trPr>
        <w:tc>
          <w:tcPr>
            <w:tcW w:w="3505" w:type="dxa"/>
          </w:tcPr>
          <w:p w14:paraId="3BF0C20C" w14:textId="77777777" w:rsidR="00B75456" w:rsidRPr="00B75456" w:rsidRDefault="00B75456" w:rsidP="007216DC">
            <w:pPr>
              <w:rPr>
                <w:rFonts w:cs="Arial"/>
                <w:sz w:val="20"/>
                <w:szCs w:val="20"/>
              </w:rPr>
            </w:pPr>
            <w:r w:rsidRPr="00B75456">
              <w:rPr>
                <w:rFonts w:cs="Arial"/>
                <w:sz w:val="20"/>
                <w:szCs w:val="20"/>
              </w:rPr>
              <w:t xml:space="preserve">Contingency Plan  </w:t>
            </w:r>
          </w:p>
        </w:tc>
        <w:tc>
          <w:tcPr>
            <w:tcW w:w="6678" w:type="dxa"/>
          </w:tcPr>
          <w:p w14:paraId="1E511C14" w14:textId="77777777" w:rsidR="00B75456" w:rsidRPr="00B75456" w:rsidRDefault="00B75456" w:rsidP="007216DC">
            <w:pPr>
              <w:rPr>
                <w:rFonts w:cs="Arial"/>
                <w:sz w:val="20"/>
                <w:szCs w:val="20"/>
              </w:rPr>
            </w:pPr>
            <w:r w:rsidRPr="00B75456">
              <w:rPr>
                <w:rFonts w:cs="Arial"/>
                <w:sz w:val="20"/>
                <w:szCs w:val="20"/>
              </w:rPr>
              <w:t>§164.308(a)(7)(ii)(E)</w:t>
            </w:r>
          </w:p>
        </w:tc>
      </w:tr>
    </w:tbl>
    <w:p w14:paraId="6780186F" w14:textId="77777777" w:rsidR="005754CE" w:rsidRPr="00881786" w:rsidRDefault="005754CE" w:rsidP="00881786">
      <w:pPr>
        <w:rPr>
          <w:b/>
          <w:sz w:val="26"/>
          <w:szCs w:val="26"/>
        </w:rPr>
      </w:pPr>
    </w:p>
    <w:p w14:paraId="699DD341" w14:textId="77777777" w:rsidR="00907DB8" w:rsidRPr="00C22860" w:rsidRDefault="00907DB8" w:rsidP="00907DB8"/>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97"/>
        <w:gridCol w:w="923"/>
        <w:gridCol w:w="785"/>
        <w:gridCol w:w="3497"/>
        <w:gridCol w:w="866"/>
      </w:tblGrid>
      <w:tr w:rsidR="00A14C27" w:rsidRPr="00A14C27" w14:paraId="1706B0F7" w14:textId="77777777" w:rsidTr="00CC37BF">
        <w:tc>
          <w:tcPr>
            <w:tcW w:w="1008" w:type="dxa"/>
            <w:tcBorders>
              <w:top w:val="single" w:sz="4" w:space="0" w:color="auto"/>
              <w:left w:val="single" w:sz="4" w:space="0" w:color="auto"/>
              <w:bottom w:val="single" w:sz="4" w:space="0" w:color="auto"/>
              <w:right w:val="single" w:sz="4" w:space="0" w:color="auto"/>
            </w:tcBorders>
            <w:hideMark/>
          </w:tcPr>
          <w:p w14:paraId="6F8B405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Date:</w:t>
            </w:r>
          </w:p>
        </w:tc>
        <w:tc>
          <w:tcPr>
            <w:tcW w:w="2497" w:type="dxa"/>
            <w:tcBorders>
              <w:top w:val="single" w:sz="4" w:space="0" w:color="auto"/>
              <w:left w:val="single" w:sz="4" w:space="0" w:color="auto"/>
              <w:bottom w:val="single" w:sz="4" w:space="0" w:color="auto"/>
              <w:right w:val="single" w:sz="4" w:space="0" w:color="auto"/>
            </w:tcBorders>
            <w:hideMark/>
          </w:tcPr>
          <w:p w14:paraId="4C31238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Reviewed/Revised by:</w:t>
            </w:r>
          </w:p>
        </w:tc>
        <w:tc>
          <w:tcPr>
            <w:tcW w:w="923" w:type="dxa"/>
            <w:tcBorders>
              <w:top w:val="single" w:sz="4" w:space="0" w:color="auto"/>
              <w:left w:val="single" w:sz="4" w:space="0" w:color="auto"/>
              <w:bottom w:val="single" w:sz="4" w:space="0" w:color="auto"/>
              <w:right w:val="single" w:sz="4" w:space="0" w:color="auto"/>
            </w:tcBorders>
            <w:hideMark/>
          </w:tcPr>
          <w:p w14:paraId="142DA421"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New Changes</w:t>
            </w:r>
          </w:p>
        </w:tc>
        <w:tc>
          <w:tcPr>
            <w:tcW w:w="785" w:type="dxa"/>
            <w:tcBorders>
              <w:top w:val="single" w:sz="4" w:space="0" w:color="auto"/>
              <w:left w:val="single" w:sz="4" w:space="0" w:color="auto"/>
              <w:bottom w:val="single" w:sz="4" w:space="0" w:color="auto"/>
              <w:right w:val="single" w:sz="4" w:space="0" w:color="auto"/>
            </w:tcBorders>
            <w:hideMark/>
          </w:tcPr>
          <w:p w14:paraId="35FE398A"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No Change</w:t>
            </w:r>
            <w:r w:rsidRPr="00A14C27">
              <w:rPr>
                <w:rFonts w:ascii="Arial" w:eastAsia="Times New Roman" w:hAnsi="Arial" w:cs="Arial"/>
                <w:sz w:val="24"/>
              </w:rPr>
              <w:t>√</w:t>
            </w:r>
          </w:p>
        </w:tc>
        <w:tc>
          <w:tcPr>
            <w:tcW w:w="3497" w:type="dxa"/>
            <w:tcBorders>
              <w:top w:val="single" w:sz="4" w:space="0" w:color="auto"/>
              <w:left w:val="single" w:sz="4" w:space="0" w:color="auto"/>
              <w:bottom w:val="single" w:sz="4" w:space="0" w:color="auto"/>
              <w:right w:val="single" w:sz="4" w:space="0" w:color="auto"/>
            </w:tcBorders>
            <w:hideMark/>
          </w:tcPr>
          <w:p w14:paraId="74F23BC5"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tcPr>
          <w:p w14:paraId="0BEBF034" w14:textId="77777777" w:rsidR="00A14C27" w:rsidRPr="00A14C27" w:rsidRDefault="00A14C27" w:rsidP="00A14C27">
            <w:pPr>
              <w:spacing w:before="120" w:after="120"/>
              <w:jc w:val="both"/>
              <w:rPr>
                <w:rFonts w:ascii="Arial" w:eastAsia="Times New Roman" w:hAnsi="Arial" w:cs="Arial"/>
                <w:sz w:val="16"/>
                <w:szCs w:val="16"/>
              </w:rPr>
            </w:pPr>
            <w:r w:rsidRPr="00A14C27">
              <w:rPr>
                <w:rFonts w:ascii="Arial" w:eastAsia="Times New Roman" w:hAnsi="Arial" w:cs="Arial"/>
                <w:sz w:val="16"/>
                <w:szCs w:val="16"/>
              </w:rPr>
              <w:t>INITIALS</w:t>
            </w:r>
          </w:p>
          <w:p w14:paraId="756AA346" w14:textId="77777777" w:rsidR="00A14C27" w:rsidRPr="00A14C27" w:rsidRDefault="00A14C27" w:rsidP="00A14C27">
            <w:pPr>
              <w:spacing w:before="120" w:after="120"/>
              <w:jc w:val="both"/>
              <w:rPr>
                <w:rFonts w:ascii="Arial" w:eastAsia="Times New Roman" w:hAnsi="Arial" w:cs="Arial"/>
                <w:sz w:val="16"/>
                <w:szCs w:val="16"/>
              </w:rPr>
            </w:pPr>
          </w:p>
        </w:tc>
      </w:tr>
      <w:tr w:rsidR="00A14C27" w:rsidRPr="00A14C27" w14:paraId="37A8F262"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6BFA302"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30DD752B"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3AE4CCC3"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76901C05"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118FDB17"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6D4AACA"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60B73F39"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67675BC3"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03383098"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1DACE826"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0D52C4BD"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B52435A"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DEEB27A" w14:textId="77777777" w:rsidR="00A14C27" w:rsidRPr="00A14C27" w:rsidRDefault="00A14C27" w:rsidP="00A14C27">
            <w:pPr>
              <w:spacing w:before="120" w:after="120"/>
              <w:rPr>
                <w:rFonts w:ascii="Arial" w:eastAsia="Times New Roman" w:hAnsi="Arial" w:cs="Arial"/>
                <w:sz w:val="20"/>
                <w:szCs w:val="20"/>
              </w:rPr>
            </w:pPr>
          </w:p>
          <w:p w14:paraId="2941E9E8"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3652019D"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10154A8"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5B19A0E6"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013E78BE"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54AAB4B0"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3E2AF76" w14:textId="77777777" w:rsidR="00A14C27" w:rsidRPr="00A14C27" w:rsidRDefault="00A14C27" w:rsidP="00A14C27">
            <w:pPr>
              <w:spacing w:before="120" w:after="120"/>
              <w:rPr>
                <w:rFonts w:ascii="Arial" w:eastAsia="Times New Roman" w:hAnsi="Arial" w:cs="Arial"/>
                <w:sz w:val="20"/>
                <w:szCs w:val="20"/>
              </w:rPr>
            </w:pPr>
          </w:p>
          <w:p w14:paraId="1A7219E9"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2658C388" w14:textId="77777777" w:rsidR="00A14C27" w:rsidRPr="00A14C27" w:rsidRDefault="00A14C27" w:rsidP="00A14C27">
            <w:pPr>
              <w:spacing w:before="120" w:after="120"/>
              <w:rPr>
                <w:rFonts w:ascii="Arial" w:eastAsia="Times New Roman" w:hAnsi="Arial"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2"/>
      <w:headerReference w:type="default" r:id="rId13"/>
      <w:footerReference w:type="even" r:id="rId14"/>
      <w:footerReference w:type="default" r:id="rId15"/>
      <w:headerReference w:type="first" r:id="rId16"/>
      <w:footerReference w:type="first" r:id="rId17"/>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81EC" w14:textId="77777777" w:rsidR="00710A7D" w:rsidRDefault="00710A7D" w:rsidP="00B16FB4">
      <w:r>
        <w:separator/>
      </w:r>
    </w:p>
  </w:endnote>
  <w:endnote w:type="continuationSeparator" w:id="0">
    <w:p w14:paraId="0ED00A57" w14:textId="77777777" w:rsidR="00710A7D" w:rsidRDefault="00710A7D"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15C0732F"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153E" w14:textId="77777777" w:rsidR="00710A7D" w:rsidRDefault="00710A7D" w:rsidP="00B16FB4">
      <w:r>
        <w:separator/>
      </w:r>
    </w:p>
  </w:footnote>
  <w:footnote w:type="continuationSeparator" w:id="0">
    <w:p w14:paraId="75DEA336" w14:textId="77777777" w:rsidR="00710A7D" w:rsidRDefault="00710A7D"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CB38" w14:textId="77777777" w:rsidR="001349C0" w:rsidRDefault="0013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3FCA54A8"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AC6"/>
    <w:multiLevelType w:val="hybridMultilevel"/>
    <w:tmpl w:val="4714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0898"/>
    <w:multiLevelType w:val="hybridMultilevel"/>
    <w:tmpl w:val="88080BCA"/>
    <w:lvl w:ilvl="0" w:tplc="AC64F95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C509D"/>
    <w:multiLevelType w:val="hybridMultilevel"/>
    <w:tmpl w:val="9FEA3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A4722"/>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D0D0D"/>
    <w:multiLevelType w:val="hybridMultilevel"/>
    <w:tmpl w:val="4714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11A71"/>
    <w:multiLevelType w:val="hybridMultilevel"/>
    <w:tmpl w:val="47142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389339">
    <w:abstractNumId w:val="6"/>
  </w:num>
  <w:num w:numId="2" w16cid:durableId="825975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3454780">
    <w:abstractNumId w:val="5"/>
  </w:num>
  <w:num w:numId="4" w16cid:durableId="1529828288">
    <w:abstractNumId w:val="2"/>
  </w:num>
  <w:num w:numId="5" w16cid:durableId="1233352489">
    <w:abstractNumId w:val="1"/>
  </w:num>
  <w:num w:numId="6" w16cid:durableId="1018390591">
    <w:abstractNumId w:val="4"/>
  </w:num>
  <w:num w:numId="7" w16cid:durableId="19261811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13F4"/>
    <w:rsid w:val="00031E57"/>
    <w:rsid w:val="00036E69"/>
    <w:rsid w:val="00070905"/>
    <w:rsid w:val="000B4FAD"/>
    <w:rsid w:val="000C0A08"/>
    <w:rsid w:val="000C1EDD"/>
    <w:rsid w:val="00100FB8"/>
    <w:rsid w:val="00130958"/>
    <w:rsid w:val="001349C0"/>
    <w:rsid w:val="00156AAE"/>
    <w:rsid w:val="00172DE2"/>
    <w:rsid w:val="001815DF"/>
    <w:rsid w:val="0018167F"/>
    <w:rsid w:val="00196490"/>
    <w:rsid w:val="001A3862"/>
    <w:rsid w:val="001B3335"/>
    <w:rsid w:val="001B7F2B"/>
    <w:rsid w:val="001C7A63"/>
    <w:rsid w:val="002033BA"/>
    <w:rsid w:val="0020431B"/>
    <w:rsid w:val="0022053C"/>
    <w:rsid w:val="00225B95"/>
    <w:rsid w:val="002306B4"/>
    <w:rsid w:val="00232939"/>
    <w:rsid w:val="00232A5A"/>
    <w:rsid w:val="0023703B"/>
    <w:rsid w:val="0024474C"/>
    <w:rsid w:val="0026638E"/>
    <w:rsid w:val="00267583"/>
    <w:rsid w:val="00273FB3"/>
    <w:rsid w:val="00281F54"/>
    <w:rsid w:val="002A3675"/>
    <w:rsid w:val="002B032B"/>
    <w:rsid w:val="002B7950"/>
    <w:rsid w:val="002C26F2"/>
    <w:rsid w:val="00313BB8"/>
    <w:rsid w:val="003272D7"/>
    <w:rsid w:val="0036793E"/>
    <w:rsid w:val="003744ED"/>
    <w:rsid w:val="00383ED7"/>
    <w:rsid w:val="00391B9D"/>
    <w:rsid w:val="00397219"/>
    <w:rsid w:val="003B7664"/>
    <w:rsid w:val="003C06EE"/>
    <w:rsid w:val="003C29C9"/>
    <w:rsid w:val="00424090"/>
    <w:rsid w:val="00427207"/>
    <w:rsid w:val="004353F9"/>
    <w:rsid w:val="004472A7"/>
    <w:rsid w:val="0046278A"/>
    <w:rsid w:val="004916AD"/>
    <w:rsid w:val="004A506C"/>
    <w:rsid w:val="004B7BE0"/>
    <w:rsid w:val="005067CD"/>
    <w:rsid w:val="00513980"/>
    <w:rsid w:val="00531705"/>
    <w:rsid w:val="00533322"/>
    <w:rsid w:val="005460C2"/>
    <w:rsid w:val="00547782"/>
    <w:rsid w:val="00552658"/>
    <w:rsid w:val="00556649"/>
    <w:rsid w:val="005575D4"/>
    <w:rsid w:val="005671D3"/>
    <w:rsid w:val="005754CE"/>
    <w:rsid w:val="005E3A0D"/>
    <w:rsid w:val="005F03B2"/>
    <w:rsid w:val="00620DB1"/>
    <w:rsid w:val="00624669"/>
    <w:rsid w:val="0063028F"/>
    <w:rsid w:val="00633B04"/>
    <w:rsid w:val="00673409"/>
    <w:rsid w:val="00674A2E"/>
    <w:rsid w:val="00676F6F"/>
    <w:rsid w:val="00682267"/>
    <w:rsid w:val="00683885"/>
    <w:rsid w:val="006B0791"/>
    <w:rsid w:val="006C137B"/>
    <w:rsid w:val="00710A7D"/>
    <w:rsid w:val="00725B3C"/>
    <w:rsid w:val="0072738D"/>
    <w:rsid w:val="00744D5C"/>
    <w:rsid w:val="007452C9"/>
    <w:rsid w:val="0075093D"/>
    <w:rsid w:val="00755D4B"/>
    <w:rsid w:val="00756033"/>
    <w:rsid w:val="00783709"/>
    <w:rsid w:val="007D2BD2"/>
    <w:rsid w:val="00802549"/>
    <w:rsid w:val="008102F0"/>
    <w:rsid w:val="00811DB9"/>
    <w:rsid w:val="00821BB0"/>
    <w:rsid w:val="008314CB"/>
    <w:rsid w:val="00832E2F"/>
    <w:rsid w:val="008368C8"/>
    <w:rsid w:val="00852E36"/>
    <w:rsid w:val="0086555E"/>
    <w:rsid w:val="00870CD1"/>
    <w:rsid w:val="00871F7A"/>
    <w:rsid w:val="0087672F"/>
    <w:rsid w:val="00881786"/>
    <w:rsid w:val="00892E08"/>
    <w:rsid w:val="00893441"/>
    <w:rsid w:val="008C1D1D"/>
    <w:rsid w:val="008E51EE"/>
    <w:rsid w:val="00907DB8"/>
    <w:rsid w:val="009139A5"/>
    <w:rsid w:val="009160C7"/>
    <w:rsid w:val="00924F9B"/>
    <w:rsid w:val="00962C89"/>
    <w:rsid w:val="009A0627"/>
    <w:rsid w:val="009A196F"/>
    <w:rsid w:val="009B6731"/>
    <w:rsid w:val="009D3196"/>
    <w:rsid w:val="009D6673"/>
    <w:rsid w:val="009F5955"/>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930AF"/>
    <w:rsid w:val="00AD30E8"/>
    <w:rsid w:val="00AE5178"/>
    <w:rsid w:val="00AE6064"/>
    <w:rsid w:val="00B15772"/>
    <w:rsid w:val="00B1658A"/>
    <w:rsid w:val="00B16FB4"/>
    <w:rsid w:val="00B37107"/>
    <w:rsid w:val="00B557B9"/>
    <w:rsid w:val="00B56A66"/>
    <w:rsid w:val="00B75456"/>
    <w:rsid w:val="00B81326"/>
    <w:rsid w:val="00BB409F"/>
    <w:rsid w:val="00BD5FA3"/>
    <w:rsid w:val="00BE593A"/>
    <w:rsid w:val="00C003B2"/>
    <w:rsid w:val="00C00658"/>
    <w:rsid w:val="00C27C79"/>
    <w:rsid w:val="00C41399"/>
    <w:rsid w:val="00C46ADC"/>
    <w:rsid w:val="00C545E2"/>
    <w:rsid w:val="00C55D59"/>
    <w:rsid w:val="00C803FE"/>
    <w:rsid w:val="00C8281B"/>
    <w:rsid w:val="00C84B5B"/>
    <w:rsid w:val="00C937A9"/>
    <w:rsid w:val="00CD4C29"/>
    <w:rsid w:val="00CF6070"/>
    <w:rsid w:val="00D00A62"/>
    <w:rsid w:val="00D026D6"/>
    <w:rsid w:val="00D23F95"/>
    <w:rsid w:val="00D37529"/>
    <w:rsid w:val="00D57034"/>
    <w:rsid w:val="00D57060"/>
    <w:rsid w:val="00D806C9"/>
    <w:rsid w:val="00D953C0"/>
    <w:rsid w:val="00D95992"/>
    <w:rsid w:val="00DB0569"/>
    <w:rsid w:val="00DB43B4"/>
    <w:rsid w:val="00DC46A7"/>
    <w:rsid w:val="00DD16B0"/>
    <w:rsid w:val="00DE4EB4"/>
    <w:rsid w:val="00DF6CA6"/>
    <w:rsid w:val="00E05AC7"/>
    <w:rsid w:val="00E06C24"/>
    <w:rsid w:val="00E56839"/>
    <w:rsid w:val="00E67980"/>
    <w:rsid w:val="00E67E0E"/>
    <w:rsid w:val="00E92A50"/>
    <w:rsid w:val="00EA44E0"/>
    <w:rsid w:val="00EA65DA"/>
    <w:rsid w:val="00EB1807"/>
    <w:rsid w:val="00EB3BB9"/>
    <w:rsid w:val="00ED3A8C"/>
    <w:rsid w:val="00F01761"/>
    <w:rsid w:val="00F02AEE"/>
    <w:rsid w:val="00F16BD7"/>
    <w:rsid w:val="00F206A8"/>
    <w:rsid w:val="00F27BFD"/>
    <w:rsid w:val="00F36E37"/>
    <w:rsid w:val="00F42DF2"/>
    <w:rsid w:val="00F45F58"/>
    <w:rsid w:val="00F56730"/>
    <w:rsid w:val="00FA62C5"/>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99CF-DE57-46F7-AD42-5F526E0C9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3.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CAC97-3403-4A15-8934-71909825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ed.stone@blueorangecompliance.com</dc:creator>
  <cp:keywords/>
  <dc:description/>
  <cp:lastModifiedBy>Danielle Kuskowski</cp:lastModifiedBy>
  <cp:revision>2</cp:revision>
  <dcterms:created xsi:type="dcterms:W3CDTF">2022-06-08T21:07:00Z</dcterms:created>
  <dcterms:modified xsi:type="dcterms:W3CDTF">2022-06-08T21:07:00Z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2017-10-08T21:25:17.1658709-04:00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